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157748E2" w:rsidR="00A209D6" w:rsidRPr="00666705" w:rsidRDefault="00A209D6" w:rsidP="00F263B8">
      <w:pPr>
        <w:pStyle w:val="Header"/>
        <w:tabs>
          <w:tab w:val="right" w:pos="9639"/>
        </w:tabs>
        <w:jc w:val="both"/>
        <w:rPr>
          <w:bCs/>
          <w:i/>
          <w:noProof w:val="0"/>
          <w:sz w:val="24"/>
          <w:szCs w:val="24"/>
        </w:rPr>
      </w:pPr>
      <w:r w:rsidRPr="00E43727">
        <w:rPr>
          <w:bCs/>
          <w:noProof w:val="0"/>
          <w:sz w:val="24"/>
          <w:szCs w:val="24"/>
        </w:rPr>
        <w:t>3GPP TSG-RAN WG2 Meeting #</w:t>
      </w:r>
      <w:r w:rsidR="0036459E" w:rsidRPr="00E43727">
        <w:rPr>
          <w:bCs/>
          <w:noProof w:val="0"/>
          <w:sz w:val="24"/>
          <w:szCs w:val="24"/>
        </w:rPr>
        <w:t>11</w:t>
      </w:r>
      <w:r w:rsidR="00F94584" w:rsidRPr="00E43727">
        <w:rPr>
          <w:bCs/>
          <w:noProof w:val="0"/>
          <w:sz w:val="24"/>
          <w:szCs w:val="24"/>
        </w:rPr>
        <w:t>6</w:t>
      </w:r>
      <w:r w:rsidR="00244A05" w:rsidRPr="00E43727">
        <w:rPr>
          <w:bCs/>
          <w:noProof w:val="0"/>
          <w:sz w:val="24"/>
          <w:szCs w:val="24"/>
        </w:rPr>
        <w:t xml:space="preserve"> Electronic</w:t>
      </w:r>
      <w:r w:rsidRPr="00E43727">
        <w:rPr>
          <w:bCs/>
          <w:noProof w:val="0"/>
          <w:sz w:val="24"/>
          <w:szCs w:val="24"/>
        </w:rPr>
        <w:tab/>
      </w:r>
      <w:r w:rsidRPr="00666705">
        <w:rPr>
          <w:rFonts w:hint="eastAsia"/>
          <w:bCs/>
          <w:noProof w:val="0"/>
          <w:sz w:val="24"/>
          <w:szCs w:val="24"/>
        </w:rPr>
        <w:t>R</w:t>
      </w:r>
      <w:r w:rsidRPr="00666705">
        <w:rPr>
          <w:bCs/>
          <w:noProof w:val="0"/>
          <w:sz w:val="24"/>
          <w:szCs w:val="24"/>
        </w:rPr>
        <w:t>2</w:t>
      </w:r>
      <w:r w:rsidRPr="00666705">
        <w:rPr>
          <w:rFonts w:hint="eastAsia"/>
          <w:bCs/>
          <w:noProof w:val="0"/>
          <w:sz w:val="24"/>
          <w:szCs w:val="24"/>
        </w:rPr>
        <w:t>-</w:t>
      </w:r>
      <w:r w:rsidR="009376CD" w:rsidRPr="00666705">
        <w:rPr>
          <w:bCs/>
          <w:noProof w:val="0"/>
          <w:sz w:val="24"/>
          <w:szCs w:val="24"/>
        </w:rPr>
        <w:t>2</w:t>
      </w:r>
      <w:r w:rsidR="00C55A12" w:rsidRPr="00666705">
        <w:rPr>
          <w:bCs/>
          <w:noProof w:val="0"/>
          <w:sz w:val="24"/>
          <w:szCs w:val="24"/>
        </w:rPr>
        <w:t>1</w:t>
      </w:r>
      <w:r w:rsidR="00DB0930">
        <w:rPr>
          <w:bCs/>
          <w:noProof w:val="0"/>
          <w:sz w:val="24"/>
          <w:szCs w:val="24"/>
        </w:rPr>
        <w:t>10612</w:t>
      </w:r>
    </w:p>
    <w:p w14:paraId="11776FA6" w14:textId="0FE46FFF" w:rsidR="00A209D6" w:rsidRPr="00666705" w:rsidRDefault="009928A9" w:rsidP="00F263B8">
      <w:pPr>
        <w:pStyle w:val="Header"/>
        <w:tabs>
          <w:tab w:val="right" w:pos="9639"/>
        </w:tabs>
        <w:jc w:val="both"/>
        <w:rPr>
          <w:rFonts w:eastAsia="SimSun"/>
          <w:bCs/>
          <w:sz w:val="24"/>
          <w:szCs w:val="24"/>
          <w:lang w:eastAsia="zh-CN"/>
        </w:rPr>
      </w:pPr>
      <w:r w:rsidRPr="00666705">
        <w:rPr>
          <w:rFonts w:eastAsia="SimSun"/>
          <w:bCs/>
          <w:sz w:val="24"/>
          <w:szCs w:val="24"/>
          <w:lang w:eastAsia="zh-CN"/>
        </w:rPr>
        <w:t>Elbonia</w:t>
      </w:r>
      <w:r w:rsidR="006574C0" w:rsidRPr="00666705">
        <w:rPr>
          <w:rFonts w:eastAsia="SimSun"/>
          <w:bCs/>
          <w:sz w:val="24"/>
          <w:szCs w:val="24"/>
          <w:lang w:eastAsia="zh-CN"/>
        </w:rPr>
        <w:t xml:space="preserve">, </w:t>
      </w:r>
      <w:r w:rsidR="00923740" w:rsidRPr="00666705">
        <w:rPr>
          <w:rFonts w:eastAsia="SimSun"/>
          <w:bCs/>
          <w:sz w:val="24"/>
          <w:szCs w:val="24"/>
          <w:lang w:eastAsia="zh-CN"/>
        </w:rPr>
        <w:t xml:space="preserve">1 – </w:t>
      </w:r>
      <w:r w:rsidR="00FF140F" w:rsidRPr="00666705">
        <w:rPr>
          <w:rFonts w:eastAsia="SimSun"/>
          <w:bCs/>
          <w:sz w:val="24"/>
          <w:szCs w:val="24"/>
          <w:lang w:eastAsia="zh-CN"/>
        </w:rPr>
        <w:t>1</w:t>
      </w:r>
      <w:r w:rsidR="00923740" w:rsidRPr="00666705">
        <w:rPr>
          <w:rFonts w:eastAsia="SimSun"/>
          <w:bCs/>
          <w:sz w:val="24"/>
          <w:szCs w:val="24"/>
          <w:lang w:eastAsia="zh-CN"/>
        </w:rPr>
        <w:t xml:space="preserve">2 of </w:t>
      </w:r>
      <w:r w:rsidR="00FF140F" w:rsidRPr="00666705">
        <w:rPr>
          <w:rFonts w:eastAsia="SimSun"/>
          <w:bCs/>
          <w:sz w:val="24"/>
          <w:szCs w:val="24"/>
          <w:lang w:eastAsia="zh-CN"/>
        </w:rPr>
        <w:t>November</w:t>
      </w:r>
      <w:r w:rsidR="00923740" w:rsidRPr="00666705">
        <w:rPr>
          <w:rFonts w:eastAsia="SimSun"/>
          <w:bCs/>
          <w:sz w:val="24"/>
          <w:szCs w:val="24"/>
          <w:lang w:eastAsia="zh-CN"/>
        </w:rPr>
        <w:t xml:space="preserve"> 2021</w:t>
      </w:r>
      <w:r w:rsidR="00A209D6" w:rsidRPr="00E43727">
        <w:rPr>
          <w:rFonts w:eastAsia="SimSun"/>
          <w:noProof w:val="0"/>
          <w:sz w:val="24"/>
          <w:szCs w:val="24"/>
          <w:lang w:eastAsia="zh-CN"/>
        </w:rPr>
        <w:tab/>
      </w:r>
    </w:p>
    <w:p w14:paraId="2E02E5F5" w14:textId="77777777" w:rsidR="00A209D6" w:rsidRPr="00666705" w:rsidRDefault="00A209D6" w:rsidP="00F263B8">
      <w:pPr>
        <w:pStyle w:val="Header"/>
        <w:jc w:val="both"/>
        <w:rPr>
          <w:bCs/>
          <w:noProof w:val="0"/>
          <w:sz w:val="24"/>
        </w:rPr>
      </w:pPr>
    </w:p>
    <w:p w14:paraId="403CB9C0" w14:textId="77777777" w:rsidR="00A209D6" w:rsidRPr="00666705" w:rsidRDefault="00A209D6" w:rsidP="00F263B8">
      <w:pPr>
        <w:pStyle w:val="Header"/>
        <w:jc w:val="both"/>
        <w:rPr>
          <w:bCs/>
          <w:noProof w:val="0"/>
          <w:sz w:val="24"/>
        </w:rPr>
      </w:pPr>
    </w:p>
    <w:p w14:paraId="74AEDB1B" w14:textId="66BCCFDA" w:rsidR="00A209D6" w:rsidRPr="00666705" w:rsidRDefault="00A209D6" w:rsidP="00F263B8">
      <w:pPr>
        <w:pStyle w:val="CRCoverPage"/>
        <w:tabs>
          <w:tab w:val="left" w:pos="1985"/>
        </w:tabs>
        <w:jc w:val="both"/>
        <w:rPr>
          <w:rFonts w:cs="Arial"/>
          <w:b/>
          <w:bCs/>
          <w:sz w:val="24"/>
          <w:lang w:eastAsia="ja-JP"/>
        </w:rPr>
      </w:pPr>
      <w:r w:rsidRPr="00666705">
        <w:rPr>
          <w:rFonts w:cs="Arial"/>
          <w:b/>
          <w:bCs/>
          <w:sz w:val="24"/>
        </w:rPr>
        <w:t>Agenda item:</w:t>
      </w:r>
      <w:r w:rsidRPr="00666705">
        <w:rPr>
          <w:rFonts w:cs="Arial"/>
          <w:b/>
          <w:bCs/>
          <w:sz w:val="24"/>
        </w:rPr>
        <w:tab/>
      </w:r>
      <w:r w:rsidR="00923740" w:rsidRPr="00666705">
        <w:rPr>
          <w:rFonts w:cs="Arial"/>
          <w:b/>
          <w:bCs/>
          <w:sz w:val="24"/>
          <w:lang w:eastAsia="ja-JP"/>
        </w:rPr>
        <w:t>8.10.3.</w:t>
      </w:r>
      <w:r w:rsidR="00C91605" w:rsidRPr="00666705">
        <w:rPr>
          <w:rFonts w:cs="Arial"/>
          <w:b/>
          <w:bCs/>
          <w:sz w:val="24"/>
          <w:lang w:eastAsia="ja-JP"/>
        </w:rPr>
        <w:t>3</w:t>
      </w:r>
    </w:p>
    <w:p w14:paraId="73188B46" w14:textId="77777777" w:rsidR="00A209D6" w:rsidRPr="00E43727" w:rsidRDefault="00A209D6" w:rsidP="00F263B8">
      <w:pPr>
        <w:tabs>
          <w:tab w:val="left" w:pos="1985"/>
        </w:tabs>
        <w:ind w:left="1985" w:hanging="1985"/>
        <w:jc w:val="both"/>
        <w:rPr>
          <w:rFonts w:ascii="Arial" w:hAnsi="Arial" w:cs="Arial"/>
          <w:b/>
          <w:bCs/>
          <w:sz w:val="24"/>
        </w:rPr>
      </w:pPr>
      <w:r w:rsidRPr="00E43727">
        <w:rPr>
          <w:rFonts w:ascii="Arial" w:hAnsi="Arial" w:cs="Arial"/>
          <w:b/>
          <w:bCs/>
          <w:sz w:val="24"/>
        </w:rPr>
        <w:t>Source:</w:t>
      </w:r>
      <w:r w:rsidRPr="00E43727">
        <w:rPr>
          <w:rFonts w:ascii="Arial" w:hAnsi="Arial" w:cs="Arial"/>
          <w:b/>
          <w:bCs/>
          <w:sz w:val="24"/>
        </w:rPr>
        <w:tab/>
        <w:t>Nokia, Nokia Shanghai Bell</w:t>
      </w:r>
    </w:p>
    <w:p w14:paraId="0FA3EF00" w14:textId="65B696DD" w:rsidR="00A209D6" w:rsidRPr="00666705" w:rsidRDefault="00A209D6" w:rsidP="00F263B8">
      <w:pPr>
        <w:ind w:left="1985" w:hanging="1985"/>
        <w:jc w:val="both"/>
        <w:rPr>
          <w:rFonts w:ascii="Arial" w:hAnsi="Arial" w:cs="Arial"/>
          <w:b/>
          <w:bCs/>
          <w:sz w:val="24"/>
        </w:rPr>
      </w:pPr>
      <w:r w:rsidRPr="00666705">
        <w:rPr>
          <w:rFonts w:ascii="Arial" w:hAnsi="Arial" w:cs="Arial"/>
          <w:b/>
          <w:bCs/>
          <w:sz w:val="24"/>
        </w:rPr>
        <w:t>Title:</w:t>
      </w:r>
      <w:r w:rsidRPr="00666705">
        <w:rPr>
          <w:rFonts w:ascii="Arial" w:hAnsi="Arial" w:cs="Arial"/>
          <w:b/>
          <w:bCs/>
          <w:sz w:val="24"/>
        </w:rPr>
        <w:tab/>
      </w:r>
      <w:r w:rsidR="005D0126">
        <w:rPr>
          <w:rFonts w:ascii="Arial" w:hAnsi="Arial" w:cs="Arial"/>
          <w:b/>
          <w:bCs/>
          <w:sz w:val="24"/>
        </w:rPr>
        <w:t>More thoughts o</w:t>
      </w:r>
      <w:r w:rsidR="003C531A" w:rsidRPr="00666705">
        <w:rPr>
          <w:rFonts w:ascii="Arial" w:hAnsi="Arial" w:cs="Arial"/>
          <w:b/>
          <w:bCs/>
          <w:sz w:val="24"/>
        </w:rPr>
        <w:t>n</w:t>
      </w:r>
      <w:r w:rsidR="00923740" w:rsidRPr="00666705">
        <w:rPr>
          <w:rFonts w:ascii="Arial" w:hAnsi="Arial" w:cs="Arial"/>
          <w:b/>
          <w:bCs/>
          <w:sz w:val="24"/>
        </w:rPr>
        <w:t xml:space="preserve"> mobility </w:t>
      </w:r>
      <w:r w:rsidR="003C531A" w:rsidRPr="00666705">
        <w:rPr>
          <w:rFonts w:ascii="Arial" w:hAnsi="Arial" w:cs="Arial"/>
          <w:b/>
          <w:bCs/>
          <w:sz w:val="24"/>
        </w:rPr>
        <w:t>in</w:t>
      </w:r>
      <w:r w:rsidR="00923740" w:rsidRPr="00666705">
        <w:rPr>
          <w:rFonts w:ascii="Arial" w:hAnsi="Arial" w:cs="Arial"/>
          <w:b/>
          <w:bCs/>
          <w:sz w:val="24"/>
        </w:rPr>
        <w:t xml:space="preserve"> </w:t>
      </w:r>
      <w:r w:rsidR="00110547" w:rsidRPr="00666705">
        <w:rPr>
          <w:rFonts w:ascii="Arial" w:hAnsi="Arial" w:cs="Arial"/>
          <w:b/>
          <w:bCs/>
          <w:sz w:val="24"/>
        </w:rPr>
        <w:t xml:space="preserve">Rel-17 </w:t>
      </w:r>
      <w:r w:rsidR="00923740" w:rsidRPr="00666705">
        <w:rPr>
          <w:rFonts w:ascii="Arial" w:hAnsi="Arial" w:cs="Arial"/>
          <w:b/>
          <w:bCs/>
          <w:sz w:val="24"/>
        </w:rPr>
        <w:t>NTN</w:t>
      </w:r>
    </w:p>
    <w:p w14:paraId="1F147C23" w14:textId="486427EC" w:rsidR="00A209D6" w:rsidRPr="00E43727" w:rsidRDefault="00A209D6" w:rsidP="00F263B8">
      <w:pPr>
        <w:ind w:left="1985" w:hanging="1985"/>
        <w:jc w:val="both"/>
        <w:rPr>
          <w:rFonts w:ascii="Arial" w:hAnsi="Arial" w:cs="Arial"/>
          <w:b/>
          <w:bCs/>
          <w:sz w:val="24"/>
        </w:rPr>
      </w:pPr>
      <w:r w:rsidRPr="00E43727">
        <w:rPr>
          <w:rFonts w:ascii="Arial" w:hAnsi="Arial" w:cs="Arial"/>
          <w:b/>
          <w:bCs/>
          <w:sz w:val="24"/>
        </w:rPr>
        <w:t>WID/SID:</w:t>
      </w:r>
      <w:r w:rsidRPr="00E43727">
        <w:rPr>
          <w:rFonts w:ascii="Arial" w:hAnsi="Arial" w:cs="Arial"/>
          <w:b/>
          <w:bCs/>
          <w:sz w:val="24"/>
        </w:rPr>
        <w:tab/>
      </w:r>
      <w:proofErr w:type="spellStart"/>
      <w:r w:rsidR="00923740" w:rsidRPr="00E43727">
        <w:rPr>
          <w:rFonts w:ascii="Arial" w:hAnsi="Arial" w:cs="Arial"/>
          <w:b/>
          <w:bCs/>
          <w:sz w:val="24"/>
        </w:rPr>
        <w:t>NR_NTN_solutions</w:t>
      </w:r>
      <w:proofErr w:type="spellEnd"/>
      <w:r w:rsidR="00923740" w:rsidRPr="00E43727">
        <w:rPr>
          <w:rFonts w:ascii="Arial" w:hAnsi="Arial" w:cs="Arial"/>
          <w:b/>
          <w:bCs/>
          <w:sz w:val="24"/>
        </w:rPr>
        <w:t>-Core - Release 17</w:t>
      </w:r>
    </w:p>
    <w:p w14:paraId="6FEB19D6" w14:textId="77777777" w:rsidR="00A209D6" w:rsidRPr="00D54EAF" w:rsidRDefault="00A209D6" w:rsidP="00F263B8">
      <w:pPr>
        <w:tabs>
          <w:tab w:val="left" w:pos="1985"/>
        </w:tabs>
        <w:jc w:val="both"/>
        <w:rPr>
          <w:rFonts w:ascii="Arial" w:hAnsi="Arial" w:cs="Arial"/>
          <w:b/>
          <w:bCs/>
          <w:sz w:val="24"/>
        </w:rPr>
      </w:pPr>
      <w:r w:rsidRPr="00D54EAF">
        <w:rPr>
          <w:rFonts w:ascii="Arial" w:hAnsi="Arial" w:cs="Arial"/>
          <w:b/>
          <w:bCs/>
          <w:sz w:val="24"/>
        </w:rPr>
        <w:t>Document for:</w:t>
      </w:r>
      <w:r w:rsidRPr="00D54EAF">
        <w:rPr>
          <w:rFonts w:ascii="Arial" w:hAnsi="Arial" w:cs="Arial"/>
          <w:b/>
          <w:bCs/>
          <w:sz w:val="24"/>
        </w:rPr>
        <w:tab/>
        <w:t>Discussion and Decision</w:t>
      </w:r>
    </w:p>
    <w:p w14:paraId="294B1FC1" w14:textId="77777777" w:rsidR="00A209D6" w:rsidRPr="00E43727" w:rsidRDefault="00A209D6" w:rsidP="00F263B8">
      <w:pPr>
        <w:pStyle w:val="Heading1"/>
        <w:jc w:val="both"/>
      </w:pPr>
      <w:r w:rsidRPr="00E43727">
        <w:t>1</w:t>
      </w:r>
      <w:r w:rsidRPr="00E43727">
        <w:tab/>
        <w:t>Introduction</w:t>
      </w:r>
    </w:p>
    <w:p w14:paraId="50F2C746" w14:textId="0257AFAF" w:rsidR="00923740" w:rsidRPr="00666705" w:rsidRDefault="00923740" w:rsidP="00F263B8">
      <w:pPr>
        <w:jc w:val="both"/>
      </w:pPr>
      <w:r w:rsidRPr="00666705">
        <w:t xml:space="preserve">Connected mode mobility for NTN has been discussed at RAN2#113 via offline thread [106], report available in [1]. </w:t>
      </w:r>
      <w:r w:rsidR="003C531A" w:rsidRPr="00666705">
        <w:t>T</w:t>
      </w:r>
      <w:r w:rsidR="00AC45D6" w:rsidRPr="00666705">
        <w:t>he</w:t>
      </w:r>
      <w:r w:rsidR="00B71370" w:rsidRPr="00666705">
        <w:t>re was virtually no decision taken as a result of this discussion. The sole agreement looks as follows:</w:t>
      </w:r>
    </w:p>
    <w:tbl>
      <w:tblPr>
        <w:tblStyle w:val="TableGrid"/>
        <w:tblW w:w="0" w:type="auto"/>
        <w:tblLook w:val="04A0" w:firstRow="1" w:lastRow="0" w:firstColumn="1" w:lastColumn="0" w:noHBand="0" w:noVBand="1"/>
      </w:tblPr>
      <w:tblGrid>
        <w:gridCol w:w="9631"/>
      </w:tblGrid>
      <w:tr w:rsidR="00B71370" w:rsidRPr="00E43727" w14:paraId="77351A2F" w14:textId="77777777" w:rsidTr="00B71370">
        <w:tc>
          <w:tcPr>
            <w:tcW w:w="9631" w:type="dxa"/>
          </w:tcPr>
          <w:p w14:paraId="0ACA90C6" w14:textId="77777777" w:rsidR="00C219A0" w:rsidRPr="00666705" w:rsidRDefault="00C219A0" w:rsidP="00F263B8">
            <w:pPr>
              <w:jc w:val="both"/>
            </w:pPr>
            <w:r w:rsidRPr="00666705">
              <w:t>Agreements:</w:t>
            </w:r>
          </w:p>
          <w:p w14:paraId="3C788939" w14:textId="1820A1EC" w:rsidR="00B71370" w:rsidRPr="00666705" w:rsidRDefault="00C219A0" w:rsidP="00F263B8">
            <w:pPr>
              <w:jc w:val="both"/>
            </w:pPr>
            <w:r w:rsidRPr="00666705">
              <w:t>1.</w:t>
            </w:r>
            <w:r w:rsidRPr="00666705">
              <w:tab/>
              <w:t>Support A4 event for NTN CHO. FFS whether other triggers need to be combined with this.</w:t>
            </w:r>
          </w:p>
        </w:tc>
      </w:tr>
    </w:tbl>
    <w:p w14:paraId="6107FFF1" w14:textId="476C3DEE" w:rsidR="003C531A" w:rsidRPr="00666705" w:rsidRDefault="00C219A0" w:rsidP="00F263B8">
      <w:pPr>
        <w:jc w:val="both"/>
      </w:pPr>
      <w:r w:rsidRPr="00666705">
        <w:br/>
      </w:r>
      <w:r w:rsidR="003C531A" w:rsidRPr="00666705">
        <w:t>After several rounds of discussion</w:t>
      </w:r>
      <w:r w:rsidR="0057728A" w:rsidRPr="00666705">
        <w:t xml:space="preserve"> [2]</w:t>
      </w:r>
      <w:r w:rsidR="003C531A" w:rsidRPr="00666705">
        <w:t xml:space="preserve"> at RAN2#113bis</w:t>
      </w:r>
      <w:r w:rsidR="0008138E" w:rsidRPr="00666705">
        <w:t xml:space="preserve"> (April 2021)</w:t>
      </w:r>
      <w:r w:rsidR="003C531A" w:rsidRPr="00666705">
        <w:t>, the following further agreements were made [</w:t>
      </w:r>
      <w:r w:rsidR="0057728A" w:rsidRPr="00666705">
        <w:t>3</w:t>
      </w:r>
      <w:r w:rsidR="003C531A" w:rsidRPr="00666705">
        <w:t>]:</w:t>
      </w:r>
    </w:p>
    <w:tbl>
      <w:tblPr>
        <w:tblStyle w:val="TableGrid"/>
        <w:tblW w:w="0" w:type="auto"/>
        <w:tblLook w:val="04A0" w:firstRow="1" w:lastRow="0" w:firstColumn="1" w:lastColumn="0" w:noHBand="0" w:noVBand="1"/>
      </w:tblPr>
      <w:tblGrid>
        <w:gridCol w:w="9631"/>
      </w:tblGrid>
      <w:tr w:rsidR="003C531A" w:rsidRPr="00E43727" w14:paraId="46E8D08E" w14:textId="77777777" w:rsidTr="003C531A">
        <w:tc>
          <w:tcPr>
            <w:tcW w:w="9631" w:type="dxa"/>
          </w:tcPr>
          <w:p w14:paraId="07BA99B1" w14:textId="77777777" w:rsidR="0057728A" w:rsidRPr="00666705" w:rsidRDefault="0057728A" w:rsidP="00F263B8">
            <w:pPr>
              <w:jc w:val="both"/>
            </w:pPr>
            <w:r w:rsidRPr="00666705">
              <w:t>Agreements:</w:t>
            </w:r>
          </w:p>
          <w:p w14:paraId="1CA6DAC4" w14:textId="77777777" w:rsidR="0057728A" w:rsidRPr="00666705" w:rsidRDefault="0057728A" w:rsidP="00F263B8">
            <w:pPr>
              <w:jc w:val="both"/>
            </w:pPr>
            <w:r w:rsidRPr="00666705">
              <w:t>1.</w:t>
            </w:r>
            <w:r w:rsidRPr="00666705">
              <w:tab/>
              <w:t>Timing information in CHO execution triggering for NTN describes the time after which the UE is allowed to execute CHO to the candidate target cell.</w:t>
            </w:r>
          </w:p>
          <w:p w14:paraId="48236546" w14:textId="77777777" w:rsidR="0057728A" w:rsidRPr="00666705" w:rsidRDefault="0057728A" w:rsidP="00F263B8">
            <w:pPr>
              <w:jc w:val="both"/>
            </w:pPr>
            <w:r w:rsidRPr="00666705">
              <w:t>2.</w:t>
            </w:r>
            <w:r w:rsidRPr="00666705">
              <w:tab/>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254443C6" w14:textId="10F100A1" w:rsidR="003C531A" w:rsidRPr="00666705" w:rsidRDefault="0057728A" w:rsidP="00F263B8">
            <w:pPr>
              <w:jc w:val="both"/>
            </w:pPr>
            <w:r w:rsidRPr="00666705">
              <w:t>3.</w:t>
            </w:r>
            <w:r w:rsidRPr="00666705">
              <w:tab/>
              <w:t>The location in location-based CHO execution triggering for NTN describes the distance between the UE and the reference location of the cell (serving cell or the target cell). FFS what the reference location of the cell is (</w:t>
            </w:r>
            <w:proofErr w:type="spellStart"/>
            <w:r w:rsidRPr="00666705">
              <w:t>e.g</w:t>
            </w:r>
            <w:proofErr w:type="spellEnd"/>
            <w:r w:rsidRPr="00666705">
              <w:t xml:space="preserve"> cell </w:t>
            </w:r>
            <w:proofErr w:type="spellStart"/>
            <w:r w:rsidRPr="00666705">
              <w:t>center</w:t>
            </w:r>
            <w:proofErr w:type="spellEnd"/>
            <w:r w:rsidRPr="00666705">
              <w:t xml:space="preserve"> or other) and how this is provided to the UE</w:t>
            </w:r>
          </w:p>
        </w:tc>
      </w:tr>
    </w:tbl>
    <w:p w14:paraId="2968391E" w14:textId="7A55B688" w:rsidR="002C1B7B" w:rsidRPr="00666705" w:rsidRDefault="003C531A" w:rsidP="00F263B8">
      <w:pPr>
        <w:jc w:val="both"/>
      </w:pPr>
      <w:r w:rsidRPr="00666705">
        <w:br/>
      </w:r>
      <w:r w:rsidR="002C1B7B" w:rsidRPr="00666705">
        <w:t>The following was further decided at RAN2#114 (May 2021)</w:t>
      </w:r>
      <w:r w:rsidR="0008138E" w:rsidRPr="00666705">
        <w:t>, report in [4]</w:t>
      </w:r>
      <w:r w:rsidR="002C1B7B" w:rsidRPr="00666705">
        <w:t>:</w:t>
      </w:r>
    </w:p>
    <w:tbl>
      <w:tblPr>
        <w:tblStyle w:val="TableGrid"/>
        <w:tblW w:w="0" w:type="auto"/>
        <w:tblLook w:val="04A0" w:firstRow="1" w:lastRow="0" w:firstColumn="1" w:lastColumn="0" w:noHBand="0" w:noVBand="1"/>
      </w:tblPr>
      <w:tblGrid>
        <w:gridCol w:w="9631"/>
      </w:tblGrid>
      <w:tr w:rsidR="002C1B7B" w:rsidRPr="00E43727" w14:paraId="6FB84D84" w14:textId="77777777" w:rsidTr="002C1B7B">
        <w:tc>
          <w:tcPr>
            <w:tcW w:w="9631" w:type="dxa"/>
          </w:tcPr>
          <w:p w14:paraId="6F031FDC" w14:textId="77777777" w:rsidR="002C1B7B" w:rsidRPr="00666705" w:rsidRDefault="002C1B7B" w:rsidP="002C1B7B">
            <w:pPr>
              <w:jc w:val="both"/>
            </w:pPr>
            <w:r w:rsidRPr="00666705">
              <w:t>1.</w:t>
            </w:r>
            <w:r w:rsidRPr="00666705">
              <w:tab/>
              <w:t>Support CHO location trigger as the distance between UE and a reference location which may be configured as the serving cell reference location or the candidate target cell reference location. FFS if combination can be allowed.</w:t>
            </w:r>
          </w:p>
          <w:p w14:paraId="72A52A22" w14:textId="77777777" w:rsidR="002C1B7B" w:rsidRPr="00666705" w:rsidRDefault="002C1B7B" w:rsidP="002C1B7B">
            <w:pPr>
              <w:jc w:val="both"/>
            </w:pPr>
            <w:r w:rsidRPr="00666705">
              <w:t>2.</w:t>
            </w:r>
            <w:r w:rsidRPr="00666705">
              <w:tab/>
              <w:t xml:space="preserve">The reference location for the event description is defined as cell </w:t>
            </w:r>
            <w:proofErr w:type="spellStart"/>
            <w:r w:rsidRPr="00666705">
              <w:t>center</w:t>
            </w:r>
            <w:proofErr w:type="spellEnd"/>
            <w:r w:rsidRPr="00666705">
              <w:t>.</w:t>
            </w:r>
          </w:p>
          <w:p w14:paraId="360177E9" w14:textId="29DE3786" w:rsidR="002C1B7B" w:rsidRPr="00666705" w:rsidRDefault="002C1B7B" w:rsidP="002C1B7B">
            <w:pPr>
              <w:jc w:val="both"/>
            </w:pPr>
            <w:r w:rsidRPr="00666705">
              <w:t>3.</w:t>
            </w:r>
            <w:r w:rsidRPr="00666705">
              <w:tab/>
              <w:t xml:space="preserve">For CHO, joint configuration of location and RSRP as well as time and RSRP </w:t>
            </w:r>
            <w:proofErr w:type="spellStart"/>
            <w:r w:rsidRPr="00666705">
              <w:t>trigge</w:t>
            </w:r>
            <w:proofErr w:type="spellEnd"/>
            <w:r w:rsidR="00763F46" w:rsidRPr="00666705">
              <w:t xml:space="preserve"> </w:t>
            </w:r>
            <w:proofErr w:type="spellStart"/>
            <w:r w:rsidRPr="00666705">
              <w:t>rs</w:t>
            </w:r>
            <w:proofErr w:type="spellEnd"/>
            <w:r w:rsidRPr="00666705">
              <w:t xml:space="preserve"> are supported.</w:t>
            </w:r>
          </w:p>
          <w:p w14:paraId="5448FE40" w14:textId="017DD956" w:rsidR="002C1B7B" w:rsidRPr="00666705" w:rsidRDefault="002C1B7B" w:rsidP="002C1B7B">
            <w:pPr>
              <w:jc w:val="both"/>
            </w:pPr>
            <w:r w:rsidRPr="00666705">
              <w:t>4.</w:t>
            </w:r>
            <w:r w:rsidRPr="00666705">
              <w:tab/>
              <w:t>For idle mode reselection, based on configuration NTN UE can prioritise TN over NTN. Configuration details FFS</w:t>
            </w:r>
          </w:p>
          <w:p w14:paraId="7D88AAD6" w14:textId="39AE3B2F" w:rsidR="002C1B7B" w:rsidRPr="00666705" w:rsidRDefault="002C1B7B" w:rsidP="002C1B7B">
            <w:pPr>
              <w:jc w:val="both"/>
            </w:pPr>
            <w:r w:rsidRPr="00666705">
              <w:t>5.</w:t>
            </w:r>
            <w:r w:rsidRPr="00666705">
              <w:tab/>
              <w:t xml:space="preserve">CHO time trigger event is defined as time duration [t1, t2] associated for each CHO candidate cell. The UE shall execute CHO to that candidate cell during the time </w:t>
            </w:r>
            <w:proofErr w:type="gramStart"/>
            <w:r w:rsidRPr="00666705">
              <w:t>duration, if</w:t>
            </w:r>
            <w:proofErr w:type="gramEnd"/>
            <w:r w:rsidRPr="00666705">
              <w:t xml:space="preserve"> all other configured CHO execution conditions will apply and there is only one triggered candidate cell.</w:t>
            </w:r>
          </w:p>
          <w:p w14:paraId="0ECD295B" w14:textId="554C8D4D" w:rsidR="002C1B7B" w:rsidRPr="00666705" w:rsidRDefault="002C1B7B" w:rsidP="002C1B7B">
            <w:pPr>
              <w:jc w:val="both"/>
            </w:pPr>
            <w:r w:rsidRPr="00666705">
              <w:t>6.</w:t>
            </w:r>
            <w:r w:rsidRPr="00666705">
              <w:tab/>
              <w:t>Same CHO trigger conditions and RRM events can be used within NTN and NTN-TN mobility provided these are supported by the UE. NTN-TN means both “from NTN to TN (hand-in)” and “from NTN to TN (hand-in) and from TN to NTN (hand-out)". FFS for enhancements.</w:t>
            </w:r>
          </w:p>
        </w:tc>
      </w:tr>
    </w:tbl>
    <w:p w14:paraId="31DF5C64" w14:textId="77777777" w:rsidR="002C1B7B" w:rsidRPr="00666705" w:rsidRDefault="002C1B7B" w:rsidP="00F263B8">
      <w:pPr>
        <w:jc w:val="both"/>
      </w:pPr>
    </w:p>
    <w:p w14:paraId="166AEBDE" w14:textId="278661DB" w:rsidR="00CE498D" w:rsidRPr="00666705" w:rsidRDefault="00CE498D" w:rsidP="00F263B8">
      <w:pPr>
        <w:jc w:val="both"/>
      </w:pPr>
      <w:r w:rsidRPr="00666705">
        <w:t>Finally, the relevant agreements from RAN2#115 (August 2021) are as follows [</w:t>
      </w:r>
      <w:r w:rsidR="003B5A00" w:rsidRPr="00666705">
        <w:t>5</w:t>
      </w:r>
      <w:r w:rsidRPr="00666705">
        <w:t xml:space="preserve">]: </w:t>
      </w:r>
    </w:p>
    <w:tbl>
      <w:tblPr>
        <w:tblStyle w:val="TableGrid"/>
        <w:tblW w:w="0" w:type="auto"/>
        <w:tblLook w:val="04A0" w:firstRow="1" w:lastRow="0" w:firstColumn="1" w:lastColumn="0" w:noHBand="0" w:noVBand="1"/>
      </w:tblPr>
      <w:tblGrid>
        <w:gridCol w:w="9631"/>
      </w:tblGrid>
      <w:tr w:rsidR="00CE498D" w14:paraId="267F522B" w14:textId="77777777" w:rsidTr="00CE498D">
        <w:tc>
          <w:tcPr>
            <w:tcW w:w="9631" w:type="dxa"/>
          </w:tcPr>
          <w:p w14:paraId="10637FC3" w14:textId="77777777" w:rsidR="00CE498D" w:rsidRDefault="00CE498D" w:rsidP="00CE498D">
            <w:pPr>
              <w:jc w:val="both"/>
            </w:pPr>
            <w:r>
              <w:lastRenderedPageBreak/>
              <w:t>1.</w:t>
            </w:r>
            <w:r>
              <w:tab/>
              <w:t xml:space="preserve">The following event is supported: </w:t>
            </w:r>
            <w:proofErr w:type="spellStart"/>
            <w:r>
              <w:t>condEvent</w:t>
            </w:r>
            <w:proofErr w:type="spellEnd"/>
            <w:r>
              <w:t xml:space="preserve"> L4: Distance between UE and the </w:t>
            </w:r>
            <w:proofErr w:type="spellStart"/>
            <w:r>
              <w:t>PCell’s</w:t>
            </w:r>
            <w:proofErr w:type="spellEnd"/>
            <w:r>
              <w:t xml:space="preserve"> reference location becomes larger than absolute threshold1 AND the distance between UE and the Conditional reconfiguration candidate becomes shorter than absolute threshold2.</w:t>
            </w:r>
          </w:p>
          <w:p w14:paraId="542919A8" w14:textId="77777777" w:rsidR="00CE498D" w:rsidRDefault="00CE498D" w:rsidP="00CE498D">
            <w:pPr>
              <w:jc w:val="both"/>
            </w:pPr>
            <w:r>
              <w:tab/>
              <w:t>FFS other options</w:t>
            </w:r>
          </w:p>
          <w:p w14:paraId="47CA1640" w14:textId="77777777" w:rsidR="00CE498D" w:rsidRDefault="00CE498D" w:rsidP="00CE498D">
            <w:pPr>
              <w:jc w:val="both"/>
            </w:pPr>
            <w:r>
              <w:t>2.</w:t>
            </w:r>
            <w:r>
              <w:tab/>
              <w:t>Specify hysteresis and time to trigger for the location event for RRM and CHO</w:t>
            </w:r>
          </w:p>
          <w:p w14:paraId="2EC47562" w14:textId="77777777" w:rsidR="00CE498D" w:rsidRDefault="00CE498D" w:rsidP="00CE498D">
            <w:pPr>
              <w:jc w:val="both"/>
            </w:pPr>
            <w:r>
              <w:t>3.</w:t>
            </w:r>
            <w:r>
              <w:tab/>
              <w:t xml:space="preserve">Timing information from </w:t>
            </w:r>
            <w:proofErr w:type="spellStart"/>
            <w:r>
              <w:t>RRCReconfiguration</w:t>
            </w:r>
            <w:proofErr w:type="spellEnd"/>
            <w:r>
              <w:t xml:space="preserve"> message in RRC running CR is removed</w:t>
            </w:r>
          </w:p>
          <w:p w14:paraId="7F16C11B" w14:textId="77777777" w:rsidR="00CE498D" w:rsidRDefault="00CE498D" w:rsidP="00CE498D">
            <w:pPr>
              <w:jc w:val="both"/>
            </w:pPr>
            <w:r>
              <w:t>4.</w:t>
            </w:r>
            <w:r>
              <w:tab/>
              <w:t>UE is allowed to perform HO only during T1 to T2</w:t>
            </w:r>
          </w:p>
          <w:p w14:paraId="3036A028" w14:textId="77777777" w:rsidR="00CE498D" w:rsidRDefault="00CE498D" w:rsidP="00CE498D">
            <w:pPr>
              <w:jc w:val="both"/>
            </w:pPr>
            <w:r>
              <w:t>Agreements via email - from offline 103 second round:</w:t>
            </w:r>
          </w:p>
          <w:p w14:paraId="3AAAFE84" w14:textId="77777777" w:rsidR="00CE498D" w:rsidRDefault="00CE498D" w:rsidP="00CE498D">
            <w:pPr>
              <w:jc w:val="both"/>
            </w:pPr>
            <w:r>
              <w:t>1.</w:t>
            </w:r>
            <w:r>
              <w:tab/>
              <w:t>RAN2 adopts Option 1: UTC time + duration/timer, e.g. 00:00:01 + 40s for representing T1 and T2 for CHO time event.</w:t>
            </w:r>
          </w:p>
          <w:p w14:paraId="4CF2DB94" w14:textId="77777777" w:rsidR="00CE498D" w:rsidRDefault="00CE498D" w:rsidP="00CE498D">
            <w:pPr>
              <w:jc w:val="both"/>
            </w:pPr>
            <w:r>
              <w:t>2.</w:t>
            </w:r>
            <w:r>
              <w:tab/>
              <w:t>RAN2 adopts options C: location and RRM and D: time and RRM to be configuration options for CHO</w:t>
            </w:r>
          </w:p>
          <w:p w14:paraId="1BDE9D80" w14:textId="5E2141E4" w:rsidR="00CE498D" w:rsidRDefault="00CE498D" w:rsidP="00CE498D">
            <w:pPr>
              <w:jc w:val="both"/>
            </w:pPr>
            <w:r>
              <w:t>3.</w:t>
            </w:r>
            <w:r>
              <w:tab/>
              <w:t>RAN2 down priorities further enhancements for connected mode for Rel-17 for TN-NTN mobility</w:t>
            </w:r>
            <w:r>
              <w:tab/>
            </w:r>
          </w:p>
          <w:p w14:paraId="280D6F9B" w14:textId="464CFE15" w:rsidR="00CE498D" w:rsidRDefault="00CE498D" w:rsidP="00CE498D">
            <w:pPr>
              <w:jc w:val="both"/>
              <w:rPr>
                <w:highlight w:val="yellow"/>
              </w:rPr>
            </w:pPr>
            <w:r>
              <w:t>4.</w:t>
            </w:r>
            <w:r>
              <w:tab/>
              <w:t xml:space="preserve">RAN2 continue discussing the exact solution for TN </w:t>
            </w:r>
            <w:proofErr w:type="spellStart"/>
            <w:r>
              <w:t>priorization</w:t>
            </w:r>
            <w:proofErr w:type="spellEnd"/>
            <w:r>
              <w:t xml:space="preserve"> over NTN for idle mode</w:t>
            </w:r>
            <w:r>
              <w:tab/>
            </w:r>
          </w:p>
        </w:tc>
      </w:tr>
    </w:tbl>
    <w:p w14:paraId="7EA78006" w14:textId="77777777" w:rsidR="00CE498D" w:rsidRDefault="00CE498D" w:rsidP="00F263B8">
      <w:pPr>
        <w:jc w:val="both"/>
        <w:rPr>
          <w:highlight w:val="yellow"/>
        </w:rPr>
      </w:pPr>
    </w:p>
    <w:p w14:paraId="64C2F7A3" w14:textId="3817F2D3" w:rsidR="00FE44FB" w:rsidRPr="00666705" w:rsidRDefault="00C219A0" w:rsidP="00F263B8">
      <w:pPr>
        <w:jc w:val="both"/>
      </w:pPr>
      <w:r w:rsidRPr="00666705">
        <w:t xml:space="preserve">This paper provides Nokia’s </w:t>
      </w:r>
      <w:r w:rsidR="005048A2" w:rsidRPr="00666705">
        <w:t>f</w:t>
      </w:r>
      <w:r w:rsidR="00FF140F" w:rsidRPr="00666705">
        <w:t>inal</w:t>
      </w:r>
      <w:r w:rsidR="005048A2" w:rsidRPr="00666705">
        <w:t xml:space="preserve"> </w:t>
      </w:r>
      <w:r w:rsidRPr="00666705">
        <w:t xml:space="preserve">view regarding the </w:t>
      </w:r>
      <w:r w:rsidR="005438A1" w:rsidRPr="00666705">
        <w:t>mobility</w:t>
      </w:r>
      <w:r w:rsidRPr="00666705">
        <w:t xml:space="preserve"> for NTN</w:t>
      </w:r>
      <w:r w:rsidR="00FF140F" w:rsidRPr="00666705">
        <w:t xml:space="preserve"> and what still shall be addressed in Rel-17</w:t>
      </w:r>
      <w:r w:rsidRPr="00666705">
        <w:t>.</w:t>
      </w:r>
    </w:p>
    <w:p w14:paraId="4F547731" w14:textId="791FEED7" w:rsidR="00A209D6" w:rsidRPr="00F94584" w:rsidRDefault="00A209D6" w:rsidP="00F263B8">
      <w:pPr>
        <w:pStyle w:val="Heading1"/>
        <w:jc w:val="both"/>
      </w:pPr>
      <w:r w:rsidRPr="00F94584">
        <w:t>2</w:t>
      </w:r>
      <w:r w:rsidRPr="00F94584">
        <w:tab/>
      </w:r>
      <w:r w:rsidR="00C219A0" w:rsidRPr="00F94584">
        <w:t>Discussion</w:t>
      </w:r>
    </w:p>
    <w:p w14:paraId="5F01C058" w14:textId="1D540902" w:rsidR="00A209D6" w:rsidRPr="00A87E12" w:rsidRDefault="00B7538C" w:rsidP="00F263B8">
      <w:pPr>
        <w:pStyle w:val="Heading2"/>
        <w:jc w:val="both"/>
      </w:pPr>
      <w:r w:rsidRPr="00A87E12">
        <w:t>2</w:t>
      </w:r>
      <w:r w:rsidR="00A209D6" w:rsidRPr="00A87E12">
        <w:t>.1</w:t>
      </w:r>
      <w:r w:rsidR="00A209D6" w:rsidRPr="00A87E12">
        <w:tab/>
      </w:r>
      <w:r w:rsidR="006B6DAA" w:rsidRPr="00A87E12">
        <w:t>Timing-related</w:t>
      </w:r>
      <w:r w:rsidR="00395D6A" w:rsidRPr="00A87E12">
        <w:t xml:space="preserve"> </w:t>
      </w:r>
      <w:r w:rsidR="00053DE4">
        <w:t>enhancements</w:t>
      </w:r>
      <w:r w:rsidR="00395D6A" w:rsidRPr="00A87E12">
        <w:t xml:space="preserve"> </w:t>
      </w:r>
      <w:r w:rsidR="00A87E12" w:rsidRPr="00A87E12">
        <w:t>for feeder link switch and EFC handovers</w:t>
      </w:r>
    </w:p>
    <w:p w14:paraId="28FAEC2A" w14:textId="133D32B6" w:rsidR="00A87E12" w:rsidRPr="00A87E12" w:rsidRDefault="00A87E12" w:rsidP="00A87E12">
      <w:pPr>
        <w:spacing w:before="240"/>
        <w:jc w:val="both"/>
      </w:pPr>
      <w:r w:rsidRPr="00A87E12">
        <w:t>As a natural result of the transparent architecture a feeder</w:t>
      </w:r>
      <w:r w:rsidR="00087710">
        <w:t xml:space="preserve"> </w:t>
      </w:r>
      <w:r w:rsidRPr="00A87E12">
        <w:t>link</w:t>
      </w:r>
      <w:r w:rsidR="00655863">
        <w:t xml:space="preserve"> (FL)</w:t>
      </w:r>
      <w:r w:rsidRPr="00A87E12">
        <w:t xml:space="preserve"> switch </w:t>
      </w:r>
      <w:r w:rsidR="00BC2F73">
        <w:t xml:space="preserve">will lead to a handover of </w:t>
      </w:r>
      <w:r w:rsidRPr="00A87E12">
        <w:t>all UEs in the cell</w:t>
      </w:r>
      <w:r w:rsidR="00BC2F73">
        <w:t xml:space="preserve"> connected through the source feeder link </w:t>
      </w:r>
      <w:r w:rsidRPr="00A87E12">
        <w:t xml:space="preserve">to the cell </w:t>
      </w:r>
      <w:r w:rsidR="00BC2F73">
        <w:t xml:space="preserve">with the new feeder link </w:t>
      </w:r>
      <w:r w:rsidRPr="00A87E12">
        <w:t>with</w:t>
      </w:r>
      <w:r w:rsidR="00BC2F73">
        <w:t>in</w:t>
      </w:r>
      <w:r w:rsidRPr="00A87E12">
        <w:t xml:space="preserve"> short time. Two cases exist:</w:t>
      </w:r>
    </w:p>
    <w:p w14:paraId="20C0776B" w14:textId="3BEA5BE8" w:rsidR="00A87E12" w:rsidRPr="00A87E12" w:rsidRDefault="00A87E12" w:rsidP="00A87E12">
      <w:pPr>
        <w:pStyle w:val="ListParagraph"/>
        <w:numPr>
          <w:ilvl w:val="0"/>
          <w:numId w:val="16"/>
        </w:numPr>
        <w:spacing w:before="240"/>
        <w:jc w:val="both"/>
      </w:pPr>
      <w:r w:rsidRPr="00A87E12">
        <w:t>Soft feeder link switch</w:t>
      </w:r>
      <w:r w:rsidR="00BC2F73">
        <w:t>:</w:t>
      </w:r>
      <w:r w:rsidRPr="00A87E12">
        <w:t xml:space="preserve"> </w:t>
      </w:r>
      <w:r w:rsidR="00746830">
        <w:t>T</w:t>
      </w:r>
      <w:r w:rsidRPr="00A87E12">
        <w:t>he old and new cell exist simultaneously for some time, as the satellite is connected to both feeder links and</w:t>
      </w:r>
      <w:r w:rsidR="00BC2F73">
        <w:t xml:space="preserve"> thus</w:t>
      </w:r>
      <w:r w:rsidRPr="00A87E12">
        <w:t xml:space="preserve"> </w:t>
      </w:r>
      <w:r w:rsidR="00126C04">
        <w:t>both the</w:t>
      </w:r>
      <w:r w:rsidRPr="00A87E12">
        <w:t xml:space="preserve"> cells</w:t>
      </w:r>
      <w:r w:rsidR="00BC2F73">
        <w:t xml:space="preserve"> for a period of time</w:t>
      </w:r>
      <w:r w:rsidRPr="00A87E12">
        <w:t xml:space="preserve">. </w:t>
      </w:r>
    </w:p>
    <w:p w14:paraId="12B21349" w14:textId="00FF9B94" w:rsidR="00A87E12" w:rsidRPr="00A87E12" w:rsidRDefault="00A87E12" w:rsidP="00A87E12">
      <w:pPr>
        <w:pStyle w:val="ListParagraph"/>
        <w:numPr>
          <w:ilvl w:val="0"/>
          <w:numId w:val="16"/>
        </w:numPr>
        <w:spacing w:before="240"/>
        <w:jc w:val="both"/>
      </w:pPr>
      <w:r w:rsidRPr="00A87E12">
        <w:t>Hard feeder link switch</w:t>
      </w:r>
      <w:r w:rsidR="00746830">
        <w:t>:</w:t>
      </w:r>
      <w:r w:rsidRPr="00A87E12">
        <w:t xml:space="preserve"> The old feeder link is </w:t>
      </w:r>
      <w:r w:rsidR="00EE596B">
        <w:t>disconnected</w:t>
      </w:r>
      <w:r w:rsidRPr="00A87E12">
        <w:t xml:space="preserve"> before the new feeder link is added as the satellite only can have one feeder link</w:t>
      </w:r>
      <w:r w:rsidR="00EE596B">
        <w:t xml:space="preserve"> at a time</w:t>
      </w:r>
      <w:r w:rsidRPr="00A87E12">
        <w:t xml:space="preserve">. </w:t>
      </w:r>
    </w:p>
    <w:p w14:paraId="1172F266" w14:textId="4E717243" w:rsidR="00A87E12" w:rsidRPr="00A87E12" w:rsidRDefault="00A87E12" w:rsidP="00A87E12">
      <w:pPr>
        <w:spacing w:before="240"/>
        <w:jc w:val="both"/>
      </w:pPr>
      <w:r w:rsidRPr="00A87E12">
        <w:t xml:space="preserve">EFC handovers have the same characteristics </w:t>
      </w:r>
      <w:r w:rsidR="00BC2F73">
        <w:t xml:space="preserve">as the </w:t>
      </w:r>
      <w:r w:rsidR="00655863">
        <w:t>FL</w:t>
      </w:r>
      <w:r w:rsidR="00BC2F73">
        <w:t xml:space="preserve"> switch describe</w:t>
      </w:r>
      <w:r w:rsidR="00A22498">
        <w:t>d</w:t>
      </w:r>
      <w:r w:rsidR="00BC2F73">
        <w:t xml:space="preserve"> above </w:t>
      </w:r>
      <w:r w:rsidRPr="00A87E12">
        <w:t>and one can observe the same two cases:</w:t>
      </w:r>
    </w:p>
    <w:p w14:paraId="2D0CD41B" w14:textId="18236AD3" w:rsidR="00D47C67" w:rsidRPr="00A87E12" w:rsidRDefault="00D47C67" w:rsidP="00A87E12">
      <w:pPr>
        <w:pStyle w:val="ListParagraph"/>
        <w:numPr>
          <w:ilvl w:val="0"/>
          <w:numId w:val="17"/>
        </w:numPr>
        <w:spacing w:before="240"/>
        <w:jc w:val="both"/>
      </w:pPr>
      <w:r w:rsidRPr="00A87E12">
        <w:t xml:space="preserve">The old and new cell exist simultaneously for some time, </w:t>
      </w:r>
      <w:r w:rsidR="00A87E12" w:rsidRPr="00A87E12">
        <w:t xml:space="preserve">as </w:t>
      </w:r>
      <w:r w:rsidRPr="00A87E12">
        <w:t>the new satellite is at an elevation angle that it can take over the earth fixed cell area, before the old satellite cannot provide that coverage anymore</w:t>
      </w:r>
    </w:p>
    <w:p w14:paraId="709FE398" w14:textId="2C89343A" w:rsidR="00D47C67" w:rsidRPr="00A87E12" w:rsidRDefault="00D47C67" w:rsidP="00A87E12">
      <w:pPr>
        <w:pStyle w:val="ListParagraph"/>
        <w:numPr>
          <w:ilvl w:val="0"/>
          <w:numId w:val="17"/>
        </w:numPr>
        <w:spacing w:before="240"/>
        <w:jc w:val="both"/>
      </w:pPr>
      <w:r w:rsidRPr="00A87E12">
        <w:t xml:space="preserve">The old and new cell do not exist </w:t>
      </w:r>
      <w:r w:rsidR="00A87E12" w:rsidRPr="00A87E12">
        <w:t>simultaneously, meaning the old cell disappears before the new cell appears.</w:t>
      </w:r>
    </w:p>
    <w:p w14:paraId="50406B4F" w14:textId="71394556" w:rsidR="00A87E12" w:rsidRPr="00FF140F" w:rsidRDefault="00A87E12" w:rsidP="00A87E12">
      <w:pPr>
        <w:spacing w:before="240"/>
        <w:jc w:val="both"/>
        <w:rPr>
          <w:b/>
        </w:rPr>
      </w:pPr>
      <w:r w:rsidRPr="00A87E12">
        <w:rPr>
          <w:b/>
          <w:bCs/>
        </w:rPr>
        <w:t xml:space="preserve">Observation 1: EFC handovers and feeder link </w:t>
      </w:r>
      <w:r w:rsidR="008654FD">
        <w:rPr>
          <w:b/>
          <w:bCs/>
        </w:rPr>
        <w:t>switching</w:t>
      </w:r>
      <w:r w:rsidRPr="00A87E12">
        <w:rPr>
          <w:b/>
          <w:bCs/>
        </w:rPr>
        <w:t xml:space="preserve"> have two cases with very similar characteristics.</w:t>
      </w:r>
    </w:p>
    <w:p w14:paraId="752E24CC" w14:textId="3D2E5EDD" w:rsidR="00A87E12" w:rsidRPr="003E464A" w:rsidRDefault="00A87E12" w:rsidP="00A87E12">
      <w:pPr>
        <w:spacing w:before="240"/>
        <w:jc w:val="both"/>
        <w:rPr>
          <w:lang w:val="en-US"/>
        </w:rPr>
      </w:pPr>
      <w:r w:rsidRPr="003E464A">
        <w:rPr>
          <w:lang w:val="en-US"/>
        </w:rPr>
        <w:t xml:space="preserve">Looking at the second case for both scenarios </w:t>
      </w:r>
      <w:r w:rsidR="00BC2F73">
        <w:rPr>
          <w:lang w:val="en-US"/>
        </w:rPr>
        <w:t>(break</w:t>
      </w:r>
      <w:r w:rsidR="0006640B">
        <w:rPr>
          <w:lang w:val="en-US"/>
        </w:rPr>
        <w:t>-</w:t>
      </w:r>
      <w:r w:rsidR="00BC2F73">
        <w:rPr>
          <w:lang w:val="en-US"/>
        </w:rPr>
        <w:t>before</w:t>
      </w:r>
      <w:r w:rsidR="0006640B">
        <w:rPr>
          <w:lang w:val="en-US"/>
        </w:rPr>
        <w:t>-</w:t>
      </w:r>
      <w:r w:rsidR="00BC2F73">
        <w:rPr>
          <w:lang w:val="en-US"/>
        </w:rPr>
        <w:t xml:space="preserve">make) </w:t>
      </w:r>
      <w:r w:rsidRPr="003E464A">
        <w:rPr>
          <w:lang w:val="en-US"/>
        </w:rPr>
        <w:t>ther</w:t>
      </w:r>
      <w:r w:rsidR="003E464A" w:rsidRPr="003E464A">
        <w:rPr>
          <w:lang w:val="en-US"/>
        </w:rPr>
        <w:t>e</w:t>
      </w:r>
      <w:r w:rsidRPr="003E464A">
        <w:rPr>
          <w:lang w:val="en-US"/>
        </w:rPr>
        <w:t xml:space="preserve"> will be a gap in the availability of the network as the source </w:t>
      </w:r>
      <w:r w:rsidR="003E464A" w:rsidRPr="003E464A">
        <w:rPr>
          <w:lang w:val="en-US"/>
        </w:rPr>
        <w:t>cell</w:t>
      </w:r>
      <w:r w:rsidRPr="003E464A">
        <w:rPr>
          <w:lang w:val="en-US"/>
        </w:rPr>
        <w:t xml:space="preserve"> </w:t>
      </w:r>
      <w:r w:rsidRPr="00A4131C">
        <w:rPr>
          <w:lang w:val="en-US"/>
        </w:rPr>
        <w:t>disappear</w:t>
      </w:r>
      <w:r w:rsidR="0005492E" w:rsidRPr="00A4131C">
        <w:rPr>
          <w:lang w:val="en-US"/>
        </w:rPr>
        <w:t>s</w:t>
      </w:r>
      <w:r w:rsidRPr="003E464A">
        <w:rPr>
          <w:lang w:val="en-US"/>
        </w:rPr>
        <w:t xml:space="preserve"> before the target </w:t>
      </w:r>
      <w:r w:rsidR="003E464A" w:rsidRPr="003E464A">
        <w:rPr>
          <w:lang w:val="en-US"/>
        </w:rPr>
        <w:t>cell</w:t>
      </w:r>
      <w:r w:rsidRPr="003E464A">
        <w:rPr>
          <w:lang w:val="en-US"/>
        </w:rPr>
        <w:t xml:space="preserve"> appears.</w:t>
      </w:r>
      <w:r w:rsidR="003E464A" w:rsidRPr="003E464A">
        <w:rPr>
          <w:lang w:val="en-US"/>
        </w:rPr>
        <w:t xml:space="preserve"> Conditional handover can be configured and if the gap is short enough the UEs will be able to make handovers provided the number of RACH opportunities in the target cell </w:t>
      </w:r>
      <w:r w:rsidR="00BD2309" w:rsidRPr="00A4131C">
        <w:rPr>
          <w:lang w:val="en-US"/>
        </w:rPr>
        <w:t>is</w:t>
      </w:r>
      <w:r w:rsidR="003E464A" w:rsidRPr="003E464A">
        <w:rPr>
          <w:lang w:val="en-US"/>
        </w:rPr>
        <w:t xml:space="preserve"> high enough. However</w:t>
      </w:r>
      <w:r w:rsidR="004A6583" w:rsidRPr="00A4131C">
        <w:rPr>
          <w:lang w:val="en-US"/>
        </w:rPr>
        <w:t>,</w:t>
      </w:r>
      <w:r w:rsidR="003E464A" w:rsidRPr="003E464A">
        <w:rPr>
          <w:lang w:val="en-US"/>
        </w:rPr>
        <w:t xml:space="preserve"> if the gap is too large </w:t>
      </w:r>
      <w:r w:rsidR="003E464A" w:rsidRPr="00A4131C">
        <w:rPr>
          <w:lang w:val="en-US"/>
        </w:rPr>
        <w:t>a</w:t>
      </w:r>
      <w:r w:rsidR="00BD2309" w:rsidRPr="00A4131C">
        <w:rPr>
          <w:lang w:val="en-US"/>
        </w:rPr>
        <w:t>n</w:t>
      </w:r>
      <w:r w:rsidR="003E464A" w:rsidRPr="003E464A">
        <w:rPr>
          <w:lang w:val="en-US"/>
        </w:rPr>
        <w:t xml:space="preserve"> RLF may happen, even though the new cell may be available just </w:t>
      </w:r>
      <w:r w:rsidR="00B654BC">
        <w:rPr>
          <w:lang w:val="en-US"/>
        </w:rPr>
        <w:t>after</w:t>
      </w:r>
      <w:r w:rsidR="003E464A" w:rsidRPr="003E464A">
        <w:rPr>
          <w:lang w:val="en-US"/>
        </w:rPr>
        <w:t xml:space="preserve">. This can </w:t>
      </w:r>
      <w:r w:rsidR="00B42556" w:rsidRPr="00A4131C">
        <w:rPr>
          <w:lang w:val="en-US"/>
        </w:rPr>
        <w:t>be</w:t>
      </w:r>
      <w:r w:rsidR="003E464A" w:rsidRPr="00A4131C">
        <w:rPr>
          <w:lang w:val="en-US"/>
        </w:rPr>
        <w:t xml:space="preserve"> </w:t>
      </w:r>
      <w:r w:rsidR="003E464A" w:rsidRPr="003E464A">
        <w:rPr>
          <w:lang w:val="en-US"/>
        </w:rPr>
        <w:t>avoided if the UEs know when the new cell will be available.</w:t>
      </w:r>
      <w:r w:rsidR="00B654BC">
        <w:rPr>
          <w:lang w:val="en-US"/>
        </w:rPr>
        <w:t xml:space="preserve"> </w:t>
      </w:r>
      <w:proofErr w:type="gramStart"/>
      <w:r w:rsidR="00B654BC">
        <w:rPr>
          <w:lang w:val="en-US"/>
        </w:rPr>
        <w:t>Furthermore</w:t>
      </w:r>
      <w:proofErr w:type="gramEnd"/>
      <w:r w:rsidR="00B654BC">
        <w:rPr>
          <w:lang w:val="en-US"/>
        </w:rPr>
        <w:t xml:space="preserve"> the cell search for UE can be made simpler if also the elevation and azimuth angles of the satellite through which the new cell is transmitted, is available.</w:t>
      </w:r>
      <w:r w:rsidR="003256BD">
        <w:rPr>
          <w:lang w:val="en-US"/>
        </w:rPr>
        <w:t xml:space="preserve"> Such information co</w:t>
      </w:r>
      <w:r w:rsidR="00EC09A0">
        <w:rPr>
          <w:lang w:val="en-US"/>
        </w:rPr>
        <w:t xml:space="preserve">uld be provided by the serving cell </w:t>
      </w:r>
      <w:r w:rsidR="00FD4644">
        <w:rPr>
          <w:lang w:val="en-US"/>
        </w:rPr>
        <w:t xml:space="preserve">to the UEs </w:t>
      </w:r>
      <w:r w:rsidR="00EC09A0">
        <w:rPr>
          <w:lang w:val="en-US"/>
        </w:rPr>
        <w:t xml:space="preserve">prior to the </w:t>
      </w:r>
      <w:r w:rsidR="00C7626E">
        <w:rPr>
          <w:lang w:val="en-US"/>
        </w:rPr>
        <w:t>cell switch</w:t>
      </w:r>
      <w:r w:rsidR="00FD4644">
        <w:rPr>
          <w:lang w:val="en-US"/>
        </w:rPr>
        <w:t>.</w:t>
      </w:r>
    </w:p>
    <w:p w14:paraId="3631CFD9" w14:textId="36FA065F" w:rsidR="003E464A" w:rsidRPr="00FF140F" w:rsidRDefault="003E464A" w:rsidP="003E464A">
      <w:pPr>
        <w:spacing w:before="240"/>
        <w:jc w:val="both"/>
        <w:rPr>
          <w:b/>
        </w:rPr>
      </w:pPr>
      <w:r>
        <w:rPr>
          <w:b/>
          <w:bCs/>
        </w:rPr>
        <w:t>Proposal</w:t>
      </w:r>
      <w:r w:rsidRPr="00A87E12">
        <w:rPr>
          <w:b/>
          <w:bCs/>
        </w:rPr>
        <w:t xml:space="preserve"> 1: </w:t>
      </w:r>
      <w:r>
        <w:rPr>
          <w:b/>
          <w:bCs/>
        </w:rPr>
        <w:t xml:space="preserve">RAN2 to discuss whether the time </w:t>
      </w:r>
      <w:r w:rsidR="00B654BC">
        <w:rPr>
          <w:b/>
          <w:bCs/>
        </w:rPr>
        <w:t>and potentially elevation and azimuth angles of</w:t>
      </w:r>
      <w:r>
        <w:rPr>
          <w:b/>
          <w:bCs/>
        </w:rPr>
        <w:t xml:space="preserve"> the new cell is available should be provided to the UEs or whether T1 in the conditional CHO configuration can be interpreted such and thus can be used to avoid an RLF</w:t>
      </w:r>
      <w:r w:rsidRPr="00A87E12">
        <w:rPr>
          <w:b/>
          <w:bCs/>
        </w:rPr>
        <w:t>.</w:t>
      </w:r>
    </w:p>
    <w:p w14:paraId="4FE79023" w14:textId="05B06568" w:rsidR="0049765F" w:rsidRDefault="003B7803">
      <w:pPr>
        <w:pStyle w:val="Heading2"/>
      </w:pPr>
      <w:r w:rsidRPr="005345C0">
        <w:lastRenderedPageBreak/>
        <w:t xml:space="preserve">2.2 </w:t>
      </w:r>
      <w:r w:rsidR="0049765F" w:rsidRPr="005345C0">
        <w:t>Using time to distribute the UEs in CHO</w:t>
      </w:r>
      <w:r w:rsidR="00D03CC0">
        <w:tab/>
      </w:r>
    </w:p>
    <w:p w14:paraId="0B4EFC4D" w14:textId="48538B4A" w:rsidR="007B550C" w:rsidRDefault="005C744C" w:rsidP="00666705">
      <w:r w:rsidRPr="005C744C">
        <w:t>Due to the constant movement of the cells</w:t>
      </w:r>
      <w:r>
        <w:t xml:space="preserve"> (in EMC)</w:t>
      </w:r>
      <w:r w:rsidR="00630D03">
        <w:t xml:space="preserve"> or when FL switch happens</w:t>
      </w:r>
      <w:r w:rsidRPr="005C744C">
        <w:t>, multiple UEs need to be handed over during a short time interval, in between the time when the new cell becomes available, and the current cell disappears</w:t>
      </w:r>
      <w:r>
        <w:t xml:space="preserve"> (</w:t>
      </w:r>
      <w:r w:rsidR="005911EB">
        <w:t xml:space="preserve">which can be </w:t>
      </w:r>
      <w:r w:rsidR="002A2E61">
        <w:t xml:space="preserve">roughly represented by the time window [t1, t2]). </w:t>
      </w:r>
      <w:r w:rsidR="008B6CBB">
        <w:t>Considering a limited amount of random access resources</w:t>
      </w:r>
      <w:r w:rsidR="00D543FE">
        <w:t xml:space="preserve">, </w:t>
      </w:r>
      <w:r w:rsidR="008B6CBB">
        <w:t xml:space="preserve">to mitigate the collisions in RA attempts, it would be </w:t>
      </w:r>
      <w:r w:rsidR="00D543FE">
        <w:t xml:space="preserve">desirable to </w:t>
      </w:r>
      <w:r w:rsidR="00E13B00">
        <w:t xml:space="preserve">spread in time this group access to the target cell. One of the factors that can be taken into the account is UE’s movement direction relative to the satellite.  </w:t>
      </w:r>
      <w:r w:rsidR="007C6E0A" w:rsidRPr="007C6E0A">
        <w:t>The satellites</w:t>
      </w:r>
      <w:r w:rsidR="007C6E0A">
        <w:t xml:space="preserve"> in LEO system</w:t>
      </w:r>
      <w:r w:rsidR="007C6E0A" w:rsidRPr="007C6E0A">
        <w:t xml:space="preserve"> move with a very high speed of up to 7.5 km/s. In this case, the maximum UE</w:t>
      </w:r>
      <w:r w:rsidR="007C6E0A">
        <w:t>’s</w:t>
      </w:r>
      <w:r w:rsidR="007C6E0A" w:rsidRPr="007C6E0A">
        <w:t xml:space="preserve"> movement of 1000 km/h leads to a difference in the coverage time per cell of up to 300 </w:t>
      </w:r>
      <w:proofErr w:type="spellStart"/>
      <w:r w:rsidR="007C6E0A" w:rsidRPr="007C6E0A">
        <w:t>ms</w:t>
      </w:r>
      <w:proofErr w:type="spellEnd"/>
      <w:r w:rsidR="007C6E0A" w:rsidRPr="007C6E0A">
        <w:t xml:space="preserve"> if the UE moves against or with the satellite direction.</w:t>
      </w:r>
      <w:r w:rsidR="007C6E0A">
        <w:t xml:space="preserve"> One may say this is </w:t>
      </w:r>
      <w:r w:rsidR="00873D60">
        <w:t xml:space="preserve">a very small time period and shall not be </w:t>
      </w:r>
      <w:r w:rsidR="00446DF3">
        <w:t>even considered. However, if this value is compared with the duration of HO which typically is equal to tens of ms, it is evident UE distribution is still possible</w:t>
      </w:r>
      <w:r w:rsidR="000A0DE0">
        <w:t xml:space="preserve"> to certain extent</w:t>
      </w:r>
      <w:r w:rsidR="00446DF3">
        <w:t xml:space="preserve">. </w:t>
      </w:r>
      <w:r w:rsidR="00D62FE3">
        <w:t>This grouping can be done as basically shown in Fig. 1</w:t>
      </w:r>
    </w:p>
    <w:p w14:paraId="4BECBED7" w14:textId="188F4E29" w:rsidR="00AD3E35" w:rsidRDefault="00CD7C77" w:rsidP="00666705">
      <w:r>
        <w:rPr>
          <w:noProof/>
        </w:rPr>
        <w:drawing>
          <wp:inline distT="0" distB="0" distL="0" distR="0" wp14:anchorId="2EE1BE46" wp14:editId="3BD2948E">
            <wp:extent cx="6559200" cy="13788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59200" cy="1378800"/>
                    </a:xfrm>
                    <a:prstGeom prst="rect">
                      <a:avLst/>
                    </a:prstGeom>
                    <a:noFill/>
                  </pic:spPr>
                </pic:pic>
              </a:graphicData>
            </a:graphic>
          </wp:inline>
        </w:drawing>
      </w:r>
    </w:p>
    <w:p w14:paraId="5DB8CF60" w14:textId="21F12E77" w:rsidR="00CD7C77" w:rsidRPr="00666705" w:rsidRDefault="00AD3E35" w:rsidP="00666705">
      <w:pPr>
        <w:rPr>
          <w:sz w:val="16"/>
          <w:szCs w:val="16"/>
        </w:rPr>
      </w:pPr>
      <w:r w:rsidRPr="00666705">
        <w:rPr>
          <w:sz w:val="16"/>
          <w:szCs w:val="16"/>
        </w:rPr>
        <w:t>Fig</w:t>
      </w:r>
      <w:r w:rsidR="006101AF" w:rsidRPr="00666705">
        <w:rPr>
          <w:sz w:val="16"/>
          <w:szCs w:val="16"/>
        </w:rPr>
        <w:t>.</w:t>
      </w:r>
      <w:r w:rsidRPr="00666705">
        <w:rPr>
          <w:sz w:val="16"/>
          <w:szCs w:val="16"/>
        </w:rPr>
        <w:t xml:space="preserve"> </w:t>
      </w:r>
      <w:r w:rsidRPr="00666705">
        <w:rPr>
          <w:sz w:val="16"/>
          <w:szCs w:val="16"/>
        </w:rPr>
        <w:fldChar w:fldCharType="begin"/>
      </w:r>
      <w:r w:rsidRPr="00666705">
        <w:rPr>
          <w:sz w:val="16"/>
          <w:szCs w:val="16"/>
        </w:rPr>
        <w:instrText xml:space="preserve"> SEQ Figure \* ARABIC </w:instrText>
      </w:r>
      <w:r w:rsidRPr="00666705">
        <w:rPr>
          <w:sz w:val="16"/>
          <w:szCs w:val="16"/>
        </w:rPr>
        <w:fldChar w:fldCharType="separate"/>
      </w:r>
      <w:r w:rsidRPr="00666705">
        <w:rPr>
          <w:noProof/>
          <w:sz w:val="16"/>
          <w:szCs w:val="16"/>
        </w:rPr>
        <w:t>1</w:t>
      </w:r>
      <w:r w:rsidRPr="00666705">
        <w:rPr>
          <w:sz w:val="16"/>
          <w:szCs w:val="16"/>
        </w:rPr>
        <w:fldChar w:fldCharType="end"/>
      </w:r>
      <w:r w:rsidRPr="00666705">
        <w:rPr>
          <w:sz w:val="16"/>
          <w:szCs w:val="16"/>
        </w:rPr>
        <w:t>. Time distribution of HOs for UEs moving with and against the satellite</w:t>
      </w:r>
    </w:p>
    <w:p w14:paraId="61A9C145" w14:textId="77777777" w:rsidR="00E85FE0" w:rsidRPr="005345C0" w:rsidRDefault="003B4123" w:rsidP="00666705">
      <w:r w:rsidRPr="005345C0">
        <w:t xml:space="preserve">UEs that have been identified to be moving with the satellite can be handed over in the first order, within the </w:t>
      </w:r>
      <w:r w:rsidR="00783939" w:rsidRPr="005345C0">
        <w:t>time window [t1, t2]. UEs moving against the satellite direction</w:t>
      </w:r>
      <w:r w:rsidR="000E37E9" w:rsidRPr="005345C0">
        <w:t xml:space="preserve"> are instructed to change the cell last, withing the time window [t3, t4].</w:t>
      </w:r>
    </w:p>
    <w:p w14:paraId="4E9488C6" w14:textId="6C8BE8F1" w:rsidR="00C0053A" w:rsidRPr="005345C0" w:rsidRDefault="00CC6311" w:rsidP="00666705">
      <w:pPr>
        <w:rPr>
          <w:b/>
          <w:bCs/>
        </w:rPr>
      </w:pPr>
      <w:r w:rsidRPr="005345C0">
        <w:rPr>
          <w:b/>
          <w:bCs/>
        </w:rPr>
        <w:t xml:space="preserve">Observation </w:t>
      </w:r>
      <w:r w:rsidR="00B7538C" w:rsidRPr="005345C0">
        <w:rPr>
          <w:b/>
        </w:rPr>
        <w:t>2</w:t>
      </w:r>
      <w:r w:rsidRPr="005345C0">
        <w:rPr>
          <w:b/>
          <w:bCs/>
        </w:rPr>
        <w:t xml:space="preserve">: UEs distribution in time during CHO can be related to </w:t>
      </w:r>
      <w:r w:rsidR="00561CE7" w:rsidRPr="005345C0">
        <w:rPr>
          <w:b/>
          <w:bCs/>
        </w:rPr>
        <w:t>the motion direction with respect to the satellite’s movement.</w:t>
      </w:r>
      <w:r w:rsidR="000E37E9" w:rsidRPr="005345C0">
        <w:rPr>
          <w:b/>
          <w:bCs/>
        </w:rPr>
        <w:t xml:space="preserve"> </w:t>
      </w:r>
    </w:p>
    <w:p w14:paraId="2D9213CB" w14:textId="147A6DE8" w:rsidR="000A0DE0" w:rsidRDefault="002F061E" w:rsidP="00F259C6">
      <w:r>
        <w:t>The question</w:t>
      </w:r>
      <w:r w:rsidR="00991324">
        <w:t xml:space="preserve"> that</w:t>
      </w:r>
      <w:r>
        <w:t xml:space="preserve"> remains is how to ensure this distribution. </w:t>
      </w:r>
      <w:r w:rsidR="00053257">
        <w:t xml:space="preserve">This may be further considered in RAN2, if </w:t>
      </w:r>
      <w:r w:rsidR="00F471BD">
        <w:t xml:space="preserve">the </w:t>
      </w:r>
      <w:r w:rsidR="00FC43F3">
        <w:t xml:space="preserve">problem described above is found to be valid. One of the options is to </w:t>
      </w:r>
      <w:r w:rsidR="005F6D98">
        <w:t xml:space="preserve">perform such assessments at the NW side. However, that would require continuous monitoring of each UE’s movement vector and velocity. </w:t>
      </w:r>
      <w:r w:rsidR="005B698E">
        <w:t xml:space="preserve">Alternatively, the UE may be given CHO execution conditions related to </w:t>
      </w:r>
      <w:r w:rsidR="00113113">
        <w:t xml:space="preserve">movement directions and the selection can be done by the UE </w:t>
      </w:r>
      <w:r w:rsidR="000F5D72">
        <w:t xml:space="preserve">semi-autonomously. </w:t>
      </w:r>
    </w:p>
    <w:p w14:paraId="7799C7A6" w14:textId="2112A202" w:rsidR="0028751D" w:rsidRPr="00666705" w:rsidRDefault="0028751D" w:rsidP="00666705">
      <w:pPr>
        <w:rPr>
          <w:b/>
          <w:bCs/>
        </w:rPr>
      </w:pPr>
      <w:r w:rsidRPr="00666705">
        <w:rPr>
          <w:b/>
          <w:bCs/>
        </w:rPr>
        <w:t xml:space="preserve">Proposal </w:t>
      </w:r>
      <w:r w:rsidR="00B4681E" w:rsidRPr="00666705">
        <w:rPr>
          <w:b/>
          <w:bCs/>
        </w:rPr>
        <w:t>2</w:t>
      </w:r>
      <w:r w:rsidRPr="00666705">
        <w:rPr>
          <w:b/>
          <w:bCs/>
        </w:rPr>
        <w:t>:</w:t>
      </w:r>
      <w:r w:rsidR="00B4681E" w:rsidRPr="00666705">
        <w:rPr>
          <w:b/>
          <w:bCs/>
        </w:rPr>
        <w:t xml:space="preserve"> RAN2 is asked to consider </w:t>
      </w:r>
      <w:r w:rsidR="004216DA" w:rsidRPr="00666705">
        <w:rPr>
          <w:b/>
          <w:bCs/>
        </w:rPr>
        <w:t>how to distribute in time CHO commands</w:t>
      </w:r>
      <w:r w:rsidR="002271BB" w:rsidRPr="00666705">
        <w:rPr>
          <w:b/>
          <w:bCs/>
        </w:rPr>
        <w:t xml:space="preserve"> taking into the account the UE’s movement direction with respect to the satellite’s movement.</w:t>
      </w:r>
      <w:r w:rsidRPr="00666705">
        <w:rPr>
          <w:b/>
          <w:bCs/>
        </w:rPr>
        <w:t xml:space="preserve"> </w:t>
      </w:r>
    </w:p>
    <w:p w14:paraId="7098F90D" w14:textId="1A043471" w:rsidR="00A209D6" w:rsidRPr="00D00D6B" w:rsidRDefault="00B7538C" w:rsidP="00F263B8">
      <w:pPr>
        <w:pStyle w:val="Heading2"/>
        <w:jc w:val="both"/>
      </w:pPr>
      <w:r w:rsidRPr="00D00D6B">
        <w:t>2</w:t>
      </w:r>
      <w:r w:rsidR="00A209D6" w:rsidRPr="00D00D6B">
        <w:t>.</w:t>
      </w:r>
      <w:r w:rsidR="007B550C">
        <w:t>3</w:t>
      </w:r>
      <w:r w:rsidR="00A209D6" w:rsidRPr="00D00D6B">
        <w:tab/>
      </w:r>
      <w:r w:rsidR="00312F19" w:rsidRPr="00D00D6B">
        <w:t>Location-related events for measurement report or CHO triggering</w:t>
      </w:r>
      <w:r w:rsidR="003E464A" w:rsidRPr="00D00D6B">
        <w:t xml:space="preserve"> for discontinuous transmission</w:t>
      </w:r>
    </w:p>
    <w:p w14:paraId="6DFC7D49" w14:textId="406E525B" w:rsidR="002A3E42" w:rsidRDefault="002A3E42" w:rsidP="00F263B8">
      <w:pPr>
        <w:jc w:val="both"/>
      </w:pPr>
      <w:r>
        <w:t xml:space="preserve">In [5] it was </w:t>
      </w:r>
      <w:r w:rsidR="006C24BE">
        <w:t>agreed</w:t>
      </w:r>
      <w:r>
        <w:t xml:space="preserve"> that:</w:t>
      </w:r>
    </w:p>
    <w:p w14:paraId="618A4C18" w14:textId="77777777" w:rsidR="002A3E42" w:rsidRPr="00666705" w:rsidRDefault="002A3E42" w:rsidP="00666705">
      <w:pPr>
        <w:pStyle w:val="ListBullet"/>
        <w:numPr>
          <w:ilvl w:val="0"/>
          <w:numId w:val="15"/>
        </w:numPr>
        <w:tabs>
          <w:tab w:val="left" w:pos="1304"/>
        </w:tabs>
        <w:rPr>
          <w:i/>
          <w:iCs/>
          <w:lang w:val="en-US"/>
        </w:rPr>
      </w:pPr>
      <w:r w:rsidRPr="00666705">
        <w:rPr>
          <w:i/>
          <w:iCs/>
          <w:lang w:val="en-US"/>
        </w:rPr>
        <w:t>1.</w:t>
      </w:r>
      <w:r w:rsidRPr="00666705">
        <w:rPr>
          <w:i/>
          <w:iCs/>
          <w:lang w:val="en-US"/>
        </w:rPr>
        <w:tab/>
        <w:t xml:space="preserve">The following event is supported: </w:t>
      </w:r>
      <w:proofErr w:type="spellStart"/>
      <w:r w:rsidRPr="00666705">
        <w:rPr>
          <w:i/>
          <w:iCs/>
          <w:lang w:val="en-US"/>
        </w:rPr>
        <w:t>condEvent</w:t>
      </w:r>
      <w:proofErr w:type="spellEnd"/>
      <w:r w:rsidRPr="00666705">
        <w:rPr>
          <w:i/>
          <w:iCs/>
          <w:lang w:val="en-US"/>
        </w:rPr>
        <w:t xml:space="preserve"> L4: Distance between UE and the </w:t>
      </w:r>
      <w:proofErr w:type="spellStart"/>
      <w:r w:rsidRPr="00666705">
        <w:rPr>
          <w:i/>
          <w:iCs/>
          <w:lang w:val="en-US"/>
        </w:rPr>
        <w:t>PCell’s</w:t>
      </w:r>
      <w:proofErr w:type="spellEnd"/>
      <w:r w:rsidRPr="00666705">
        <w:rPr>
          <w:i/>
          <w:iCs/>
          <w:lang w:val="en-US"/>
        </w:rPr>
        <w:t xml:space="preserve"> reference location becomes larger than absolute threshold1 AND the distance between UE and the Conditional reconfiguration candidate becomes shorter than absolute threshold2.</w:t>
      </w:r>
    </w:p>
    <w:p w14:paraId="11960D36" w14:textId="0487D7BD" w:rsidR="002A3E42" w:rsidRDefault="002A3E42" w:rsidP="00666705">
      <w:pPr>
        <w:pStyle w:val="ListBullet"/>
        <w:numPr>
          <w:ilvl w:val="1"/>
          <w:numId w:val="15"/>
        </w:numPr>
        <w:tabs>
          <w:tab w:val="left" w:pos="1304"/>
        </w:tabs>
      </w:pPr>
      <w:r w:rsidRPr="00666705">
        <w:rPr>
          <w:i/>
          <w:iCs/>
          <w:lang w:val="en-US"/>
        </w:rPr>
        <w:t>FFS</w:t>
      </w:r>
      <w:r>
        <w:t xml:space="preserve"> </w:t>
      </w:r>
      <w:proofErr w:type="spellStart"/>
      <w:r>
        <w:t>other</w:t>
      </w:r>
      <w:proofErr w:type="spellEnd"/>
      <w:r>
        <w:t xml:space="preserve"> options</w:t>
      </w:r>
    </w:p>
    <w:p w14:paraId="3D0F3F96" w14:textId="77777777" w:rsidR="00C05FEA" w:rsidRDefault="006359EE" w:rsidP="008B6788">
      <w:r>
        <w:t xml:space="preserve">As we have previously noted in </w:t>
      </w:r>
      <w:r w:rsidR="007A40D3">
        <w:t>[9]</w:t>
      </w:r>
      <w:r w:rsidR="00220C58">
        <w:t xml:space="preserve"> </w:t>
      </w:r>
      <w:r w:rsidR="003F73F7">
        <w:t xml:space="preserve">it is important to consider </w:t>
      </w:r>
      <w:r w:rsidR="009A066E">
        <w:t xml:space="preserve">not only the location, but also the radio conditions (i.e. measurements) </w:t>
      </w:r>
      <w:r w:rsidR="00585580">
        <w:t xml:space="preserve">to account for potential </w:t>
      </w:r>
      <w:r w:rsidR="00642586">
        <w:t>blockage, leading to non-line of sight conditions</w:t>
      </w:r>
      <w:r w:rsidR="00B46060">
        <w:t xml:space="preserve">. </w:t>
      </w:r>
    </w:p>
    <w:p w14:paraId="3F44BFB1" w14:textId="575D9AFA" w:rsidR="008B6788" w:rsidRDefault="00572D3D" w:rsidP="008B6788">
      <w:r>
        <w:t xml:space="preserve">Furthermore, as LEO satellites move </w:t>
      </w:r>
      <w:r w:rsidR="002A07E9">
        <w:t>a condition</w:t>
      </w:r>
      <w:r w:rsidR="00505DC8">
        <w:t xml:space="preserve">, which only </w:t>
      </w:r>
      <w:proofErr w:type="gramStart"/>
      <w:r w:rsidR="00505DC8">
        <w:t>takes into account</w:t>
      </w:r>
      <w:proofErr w:type="gramEnd"/>
      <w:r w:rsidR="00505DC8">
        <w:t xml:space="preserve"> the </w:t>
      </w:r>
      <w:r w:rsidR="00476C4D">
        <w:t xml:space="preserve">cell’s reference location </w:t>
      </w:r>
      <w:r w:rsidR="00194C3F">
        <w:t xml:space="preserve">at a single point in time, could lead to suboptimal </w:t>
      </w:r>
      <w:r w:rsidR="000103CA">
        <w:t xml:space="preserve">selection of </w:t>
      </w:r>
      <w:r w:rsidR="003367EF">
        <w:t xml:space="preserve">a target cell, if the UE has more than one candidate cell configured. </w:t>
      </w:r>
      <w:r w:rsidR="008B6788">
        <w:fldChar w:fldCharType="begin"/>
      </w:r>
      <w:r w:rsidR="008B6788">
        <w:instrText xml:space="preserve"> REF _Ref67473871 \h </w:instrText>
      </w:r>
      <w:r w:rsidR="008B6788">
        <w:fldChar w:fldCharType="separate"/>
      </w:r>
      <w:r w:rsidR="008B6788">
        <w:t xml:space="preserve">Figure </w:t>
      </w:r>
      <w:r w:rsidR="008B6788">
        <w:rPr>
          <w:noProof/>
        </w:rPr>
        <w:t>2</w:t>
      </w:r>
      <w:r w:rsidR="008B6788">
        <w:fldChar w:fldCharType="end"/>
      </w:r>
      <w:r w:rsidR="008B6788">
        <w:t xml:space="preserve"> provides an illustration of a scenario, where the UE at time t1 may determine that neighbour cell 2 is closer than neighbour cell 1, while at time t2 neighbour cell 1 is closer than neighbour cell 2 due to the satellite movement. </w:t>
      </w:r>
      <w:r w:rsidR="00872DB1">
        <w:t xml:space="preserve">If the UE does not consider the earth-moving cells’ </w:t>
      </w:r>
      <w:proofErr w:type="spellStart"/>
      <w:r w:rsidR="00872DB1">
        <w:t>be</w:t>
      </w:r>
      <w:r w:rsidR="00991055">
        <w:t>havior</w:t>
      </w:r>
      <w:proofErr w:type="spellEnd"/>
      <w:r w:rsidR="00991055">
        <w:t xml:space="preserve"> </w:t>
      </w:r>
      <w:r w:rsidR="00240C8E">
        <w:t xml:space="preserve">it may </w:t>
      </w:r>
      <w:r w:rsidR="00BF2BB9">
        <w:t xml:space="preserve">first </w:t>
      </w:r>
      <w:r w:rsidR="00B85FB8">
        <w:t xml:space="preserve">send a measurement report/trigger CHO </w:t>
      </w:r>
      <w:r w:rsidR="00D0242B">
        <w:t xml:space="preserve">for </w:t>
      </w:r>
      <w:proofErr w:type="spellStart"/>
      <w:r w:rsidR="00D0242B">
        <w:t>neighbor</w:t>
      </w:r>
      <w:proofErr w:type="spellEnd"/>
      <w:r w:rsidR="00D0242B">
        <w:t xml:space="preserve"> cell 2 and </w:t>
      </w:r>
      <w:r w:rsidR="00AC550C">
        <w:t>within relatively short time</w:t>
      </w:r>
      <w:r w:rsidR="004611BB">
        <w:t xml:space="preserve"> then also a measurement report/trigger CHO </w:t>
      </w:r>
      <w:r w:rsidR="005E6E31">
        <w:t xml:space="preserve">for </w:t>
      </w:r>
      <w:proofErr w:type="spellStart"/>
      <w:r w:rsidR="005E6E31">
        <w:t>neighbor</w:t>
      </w:r>
      <w:proofErr w:type="spellEnd"/>
      <w:r w:rsidR="005E6E31">
        <w:t xml:space="preserve"> cell 1. </w:t>
      </w:r>
    </w:p>
    <w:p w14:paraId="5D0C25DF" w14:textId="7246824C" w:rsidR="00966B7E" w:rsidRPr="00666705" w:rsidRDefault="00966B7E" w:rsidP="008B6788">
      <w:pPr>
        <w:rPr>
          <w:b/>
          <w:bCs/>
        </w:rPr>
      </w:pPr>
      <w:r>
        <w:rPr>
          <w:b/>
          <w:bCs/>
        </w:rPr>
        <w:t>Observation</w:t>
      </w:r>
      <w:r w:rsidR="00072DF9">
        <w:rPr>
          <w:b/>
          <w:bCs/>
        </w:rPr>
        <w:t xml:space="preserve"> 3</w:t>
      </w:r>
      <w:r>
        <w:rPr>
          <w:b/>
          <w:bCs/>
        </w:rPr>
        <w:t xml:space="preserve">: </w:t>
      </w:r>
      <w:r w:rsidR="008418BE">
        <w:rPr>
          <w:b/>
          <w:bCs/>
        </w:rPr>
        <w:t xml:space="preserve">using the cells’ reference location as an instantaneous metric </w:t>
      </w:r>
      <w:r w:rsidR="00792418">
        <w:rPr>
          <w:b/>
          <w:bCs/>
        </w:rPr>
        <w:t>can lead to unnecessary measurement reports/CHOs</w:t>
      </w:r>
      <w:r w:rsidR="004A24EB">
        <w:rPr>
          <w:b/>
          <w:bCs/>
        </w:rPr>
        <w:t xml:space="preserve"> in the earth-moving cell scenario</w:t>
      </w:r>
      <w:r w:rsidR="00792418">
        <w:rPr>
          <w:b/>
          <w:bCs/>
        </w:rPr>
        <w:t xml:space="preserve">  </w:t>
      </w:r>
    </w:p>
    <w:p w14:paraId="4B7AC11E" w14:textId="664A6C6A" w:rsidR="008B6788" w:rsidRDefault="008B6788" w:rsidP="008B6788">
      <w:pPr>
        <w:keepNext/>
        <w:jc w:val="center"/>
      </w:pPr>
      <w:r>
        <w:rPr>
          <w:noProof/>
        </w:rPr>
        <w:drawing>
          <wp:inline distT="0" distB="0" distL="0" distR="0" wp14:anchorId="60F5582E" wp14:editId="1C9DA187">
            <wp:extent cx="3189605" cy="17532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89605" cy="1753235"/>
                    </a:xfrm>
                    <a:prstGeom prst="rect">
                      <a:avLst/>
                    </a:prstGeom>
                    <a:noFill/>
                    <a:ln>
                      <a:noFill/>
                    </a:ln>
                  </pic:spPr>
                </pic:pic>
              </a:graphicData>
            </a:graphic>
          </wp:inline>
        </w:drawing>
      </w:r>
    </w:p>
    <w:p w14:paraId="3F4F713E" w14:textId="2943208E" w:rsidR="008B6788" w:rsidRPr="00666705" w:rsidRDefault="008B6788" w:rsidP="00666705">
      <w:pPr>
        <w:pStyle w:val="Caption"/>
        <w:rPr>
          <w:i w:val="0"/>
          <w:iCs w:val="0"/>
          <w:color w:val="auto"/>
          <w:sz w:val="16"/>
          <w:szCs w:val="16"/>
        </w:rPr>
      </w:pPr>
      <w:bookmarkStart w:id="0" w:name="_Ref67473871"/>
      <w:r w:rsidRPr="00666705">
        <w:rPr>
          <w:i w:val="0"/>
          <w:iCs w:val="0"/>
          <w:color w:val="auto"/>
          <w:sz w:val="16"/>
          <w:szCs w:val="16"/>
        </w:rPr>
        <w:t>Fig</w:t>
      </w:r>
      <w:r w:rsidR="006101AF" w:rsidRPr="00666705">
        <w:rPr>
          <w:i w:val="0"/>
          <w:iCs w:val="0"/>
          <w:color w:val="auto"/>
          <w:sz w:val="16"/>
          <w:szCs w:val="16"/>
        </w:rPr>
        <w:t>.</w:t>
      </w:r>
      <w:r w:rsidRPr="00666705">
        <w:rPr>
          <w:i w:val="0"/>
          <w:iCs w:val="0"/>
          <w:color w:val="auto"/>
          <w:sz w:val="16"/>
          <w:szCs w:val="16"/>
        </w:rPr>
        <w:t xml:space="preserve"> </w:t>
      </w:r>
      <w:r w:rsidRPr="00666705">
        <w:rPr>
          <w:i w:val="0"/>
          <w:iCs w:val="0"/>
          <w:color w:val="auto"/>
          <w:sz w:val="16"/>
          <w:szCs w:val="16"/>
        </w:rPr>
        <w:fldChar w:fldCharType="begin"/>
      </w:r>
      <w:r w:rsidRPr="00666705">
        <w:rPr>
          <w:i w:val="0"/>
          <w:iCs w:val="0"/>
          <w:color w:val="auto"/>
          <w:sz w:val="16"/>
          <w:szCs w:val="16"/>
        </w:rPr>
        <w:instrText xml:space="preserve"> SEQ Figure \* ARABIC </w:instrText>
      </w:r>
      <w:r w:rsidRPr="00666705">
        <w:rPr>
          <w:i w:val="0"/>
          <w:iCs w:val="0"/>
          <w:color w:val="auto"/>
          <w:sz w:val="16"/>
          <w:szCs w:val="16"/>
        </w:rPr>
        <w:fldChar w:fldCharType="separate"/>
      </w:r>
      <w:r w:rsidRPr="00666705">
        <w:rPr>
          <w:i w:val="0"/>
          <w:iCs w:val="0"/>
          <w:noProof/>
          <w:color w:val="auto"/>
          <w:sz w:val="16"/>
          <w:szCs w:val="16"/>
        </w:rPr>
        <w:t>2</w:t>
      </w:r>
      <w:r w:rsidRPr="00666705">
        <w:rPr>
          <w:i w:val="0"/>
          <w:iCs w:val="0"/>
          <w:color w:val="auto"/>
          <w:sz w:val="16"/>
          <w:szCs w:val="16"/>
        </w:rPr>
        <w:fldChar w:fldCharType="end"/>
      </w:r>
      <w:bookmarkEnd w:id="0"/>
      <w:r w:rsidRPr="00666705">
        <w:rPr>
          <w:i w:val="0"/>
          <w:iCs w:val="0"/>
          <w:color w:val="auto"/>
          <w:sz w:val="16"/>
          <w:szCs w:val="16"/>
        </w:rPr>
        <w:t xml:space="preserve"> Example of earth-moving cells moving from north to south. The UE (red triangle) is aware of cell </w:t>
      </w:r>
      <w:proofErr w:type="spellStart"/>
      <w:r w:rsidRPr="00666705">
        <w:rPr>
          <w:i w:val="0"/>
          <w:iCs w:val="0"/>
          <w:color w:val="auto"/>
          <w:sz w:val="16"/>
          <w:szCs w:val="16"/>
        </w:rPr>
        <w:t>center</w:t>
      </w:r>
      <w:proofErr w:type="spellEnd"/>
      <w:r w:rsidRPr="00666705">
        <w:rPr>
          <w:i w:val="0"/>
          <w:iCs w:val="0"/>
          <w:color w:val="auto"/>
          <w:sz w:val="16"/>
          <w:szCs w:val="16"/>
        </w:rPr>
        <w:t xml:space="preserve"> locations for the serving cell and the two neighbour cells.</w:t>
      </w:r>
    </w:p>
    <w:p w14:paraId="3FBA1A28" w14:textId="2D827ADC" w:rsidR="002A3E42" w:rsidRDefault="00B7327C" w:rsidP="00F263B8">
      <w:pPr>
        <w:jc w:val="both"/>
      </w:pPr>
      <w:r>
        <w:t xml:space="preserve">If the UE instead monitors the cells’ movement, e.g. by </w:t>
      </w:r>
      <w:r w:rsidR="00392718">
        <w:t xml:space="preserve">calculating </w:t>
      </w:r>
      <w:r w:rsidR="003A4F03">
        <w:t xml:space="preserve">how the UE to reference location </w:t>
      </w:r>
      <w:r w:rsidR="00474D70">
        <w:t xml:space="preserve">distance </w:t>
      </w:r>
      <w:r w:rsidR="003A4F03">
        <w:t xml:space="preserve">changes </w:t>
      </w:r>
      <w:r w:rsidR="00474D70">
        <w:t>within a short period of time</w:t>
      </w:r>
      <w:r w:rsidR="00404BD9">
        <w:t>,</w:t>
      </w:r>
      <w:r w:rsidR="0007306A">
        <w:t xml:space="preserve"> the UE would be able to determine that </w:t>
      </w:r>
      <w:proofErr w:type="spellStart"/>
      <w:r w:rsidR="0007306A">
        <w:t>neighbor</w:t>
      </w:r>
      <w:proofErr w:type="spellEnd"/>
      <w:r w:rsidR="0007306A">
        <w:t xml:space="preserve"> cell 2 is not the optimal choice for handover</w:t>
      </w:r>
      <w:r w:rsidR="00C43FAF">
        <w:t>, because it is moving away from the UE</w:t>
      </w:r>
      <w:r w:rsidR="0007306A">
        <w:t xml:space="preserve">. </w:t>
      </w:r>
    </w:p>
    <w:p w14:paraId="59596F8D" w14:textId="254EC687" w:rsidR="00076D81" w:rsidRDefault="00076D81" w:rsidP="00F263B8">
      <w:pPr>
        <w:jc w:val="both"/>
        <w:rPr>
          <w:b/>
          <w:bCs/>
        </w:rPr>
      </w:pPr>
      <w:r>
        <w:rPr>
          <w:b/>
          <w:bCs/>
        </w:rPr>
        <w:t>Observation</w:t>
      </w:r>
      <w:r w:rsidR="00072DF9">
        <w:rPr>
          <w:b/>
          <w:bCs/>
        </w:rPr>
        <w:t xml:space="preserve"> 4</w:t>
      </w:r>
      <w:r>
        <w:rPr>
          <w:b/>
          <w:bCs/>
        </w:rPr>
        <w:t xml:space="preserve">: </w:t>
      </w:r>
      <w:r w:rsidR="001C1571">
        <w:rPr>
          <w:b/>
          <w:bCs/>
        </w:rPr>
        <w:t xml:space="preserve">determining the UE to reference location distance change </w:t>
      </w:r>
      <w:r w:rsidR="00C65BD8">
        <w:rPr>
          <w:b/>
          <w:bCs/>
        </w:rPr>
        <w:t xml:space="preserve">over time enables the UE to </w:t>
      </w:r>
      <w:r w:rsidR="00BB1F60">
        <w:rPr>
          <w:b/>
          <w:bCs/>
        </w:rPr>
        <w:t>select between candidate cells.</w:t>
      </w:r>
    </w:p>
    <w:p w14:paraId="1422FB6C" w14:textId="6EEE4AF4" w:rsidR="00AB1DC1" w:rsidRDefault="00C05FEA" w:rsidP="00F263B8">
      <w:pPr>
        <w:jc w:val="both"/>
      </w:pPr>
      <w:r>
        <w:t xml:space="preserve">As noted in the beginning of this section it is important to consider radio conditions and location-based </w:t>
      </w:r>
      <w:r w:rsidR="00F06529">
        <w:t xml:space="preserve">observations in a combined fashion. One approach could be to </w:t>
      </w:r>
      <w:r w:rsidR="00FA6234">
        <w:t xml:space="preserve">convert the </w:t>
      </w:r>
      <w:r w:rsidR="000D2BE1">
        <w:t xml:space="preserve">distance change </w:t>
      </w:r>
      <w:r w:rsidR="002E118B">
        <w:t>value to an offset parameter</w:t>
      </w:r>
      <w:r w:rsidR="00991C46">
        <w:t>, which can be applied in the configured measurement event</w:t>
      </w:r>
      <w:r w:rsidR="00E66E2F">
        <w:t xml:space="preserve">, i.e. it would be an additive value just like the </w:t>
      </w:r>
      <w:r w:rsidR="00AB2DAF">
        <w:t>offset and hysteresis parameters</w:t>
      </w:r>
      <w:r w:rsidR="00AE74CD">
        <w:t xml:space="preserve">. </w:t>
      </w:r>
    </w:p>
    <w:p w14:paraId="145E90AE" w14:textId="0AE4F8C7" w:rsidR="00952A29" w:rsidRPr="00666705" w:rsidRDefault="00F33AC6" w:rsidP="00F263B8">
      <w:pPr>
        <w:jc w:val="both"/>
        <w:rPr>
          <w:b/>
          <w:bCs/>
        </w:rPr>
      </w:pPr>
      <w:r>
        <w:rPr>
          <w:b/>
          <w:bCs/>
        </w:rPr>
        <w:t>Observation</w:t>
      </w:r>
      <w:r w:rsidR="00072DF9">
        <w:rPr>
          <w:b/>
          <w:bCs/>
        </w:rPr>
        <w:t xml:space="preserve"> 5</w:t>
      </w:r>
      <w:r>
        <w:rPr>
          <w:b/>
          <w:bCs/>
        </w:rPr>
        <w:t xml:space="preserve">: </w:t>
      </w:r>
      <w:r w:rsidR="001C3394">
        <w:rPr>
          <w:b/>
          <w:bCs/>
        </w:rPr>
        <w:t>the UE to reference location distance change over time</w:t>
      </w:r>
      <w:r w:rsidR="00DC7B65">
        <w:rPr>
          <w:b/>
          <w:bCs/>
        </w:rPr>
        <w:t xml:space="preserve"> value can be applied as an offset parameter in radio measurement event evaluation.</w:t>
      </w:r>
    </w:p>
    <w:p w14:paraId="40A3261D" w14:textId="0F04BDCD" w:rsidR="00D00D6B" w:rsidRPr="00D00D6B" w:rsidRDefault="00D00D6B" w:rsidP="00F263B8">
      <w:pPr>
        <w:jc w:val="both"/>
      </w:pPr>
      <w:r w:rsidRPr="00D00D6B">
        <w:t>In [</w:t>
      </w:r>
      <w:r w:rsidR="00F240FE">
        <w:t>5]</w:t>
      </w:r>
      <w:r w:rsidRPr="00D00D6B">
        <w:t xml:space="preserve"> it was concluded that</w:t>
      </w:r>
      <w:r w:rsidR="00F762BE">
        <w:t>:</w:t>
      </w:r>
    </w:p>
    <w:p w14:paraId="6D4C0B57" w14:textId="6BCBF79C" w:rsidR="00D00D6B" w:rsidRPr="00D00D6B" w:rsidRDefault="00D00D6B" w:rsidP="00D00D6B">
      <w:pPr>
        <w:pStyle w:val="ListBullet"/>
        <w:numPr>
          <w:ilvl w:val="0"/>
          <w:numId w:val="19"/>
        </w:numPr>
        <w:tabs>
          <w:tab w:val="left" w:pos="1304"/>
        </w:tabs>
        <w:rPr>
          <w:i/>
          <w:iCs/>
          <w:lang w:val="en-US"/>
        </w:rPr>
      </w:pPr>
      <w:r w:rsidRPr="00D00D6B">
        <w:rPr>
          <w:i/>
          <w:iCs/>
          <w:lang w:val="en-US"/>
        </w:rPr>
        <w:t>RAN2 specifies support combination of serving and target cell reference location is supported for location report trigger event and for CHO location trigger</w:t>
      </w:r>
    </w:p>
    <w:p w14:paraId="127A1A9D" w14:textId="24EB48A0" w:rsidR="00D00D6B" w:rsidRPr="004C068E" w:rsidRDefault="00D00D6B" w:rsidP="00F263B8">
      <w:pPr>
        <w:jc w:val="both"/>
        <w:rPr>
          <w:lang w:val="en-US"/>
        </w:rPr>
      </w:pPr>
      <w:r w:rsidRPr="004C068E">
        <w:rPr>
          <w:lang w:val="en-US"/>
        </w:rPr>
        <w:t xml:space="preserve">First of </w:t>
      </w:r>
      <w:proofErr w:type="gramStart"/>
      <w:r w:rsidRPr="004C068E">
        <w:rPr>
          <w:lang w:val="en-US"/>
        </w:rPr>
        <w:t>all</w:t>
      </w:r>
      <w:proofErr w:type="gramEnd"/>
      <w:r w:rsidRPr="004C068E">
        <w:rPr>
          <w:lang w:val="en-US"/>
        </w:rPr>
        <w:t xml:space="preserve"> this trigger can naturally </w:t>
      </w:r>
      <w:r w:rsidR="00D227E0">
        <w:rPr>
          <w:lang w:val="en-US"/>
        </w:rPr>
        <w:t xml:space="preserve">be </w:t>
      </w:r>
      <w:r w:rsidRPr="004C068E">
        <w:rPr>
          <w:lang w:val="en-US"/>
        </w:rPr>
        <w:t>combined with radio conditions as also concluded in the last RAN2 meeting. However</w:t>
      </w:r>
      <w:r w:rsidR="005A6D90">
        <w:rPr>
          <w:lang w:val="en-US"/>
        </w:rPr>
        <w:t>,</w:t>
      </w:r>
      <w:r w:rsidRPr="004C068E">
        <w:rPr>
          <w:lang w:val="en-US"/>
        </w:rPr>
        <w:t xml:space="preserve"> in the case of discontinuous transmission, the distance between the serving and target cell may be very far apart and separated by an area without connectivity. Naturally the radio conditions would fail. However</w:t>
      </w:r>
      <w:r w:rsidR="00104B81">
        <w:rPr>
          <w:lang w:val="en-US"/>
        </w:rPr>
        <w:t>,</w:t>
      </w:r>
      <w:r w:rsidRPr="004C068E">
        <w:rPr>
          <w:lang w:val="en-US"/>
        </w:rPr>
        <w:t xml:space="preserve"> if the gap in discontinuous coverage is relative short it may be beneficial to keep the connection alive, in a sleep mode, and continue as soon as coverage from the target cell appears. Ther</w:t>
      </w:r>
      <w:r w:rsidR="00104B81">
        <w:rPr>
          <w:lang w:val="en-US"/>
        </w:rPr>
        <w:t>e</w:t>
      </w:r>
      <w:r w:rsidRPr="004C068E">
        <w:rPr>
          <w:lang w:val="en-US"/>
        </w:rPr>
        <w:t>fore we would like to propose the following</w:t>
      </w:r>
      <w:r w:rsidR="005D550A">
        <w:rPr>
          <w:lang w:val="en-US"/>
        </w:rPr>
        <w:t>:</w:t>
      </w:r>
    </w:p>
    <w:p w14:paraId="0EC46A43" w14:textId="44F17C31" w:rsidR="007E0564" w:rsidRPr="00FF140F" w:rsidRDefault="00D00D6B" w:rsidP="004C068E">
      <w:pPr>
        <w:spacing w:before="240"/>
        <w:jc w:val="both"/>
        <w:rPr>
          <w:highlight w:val="yellow"/>
        </w:rPr>
      </w:pPr>
      <w:r>
        <w:rPr>
          <w:b/>
          <w:bCs/>
        </w:rPr>
        <w:t>Proposal</w:t>
      </w:r>
      <w:r w:rsidRPr="00A87E12">
        <w:rPr>
          <w:b/>
          <w:bCs/>
        </w:rPr>
        <w:t xml:space="preserve"> </w:t>
      </w:r>
      <w:r w:rsidR="00A55750">
        <w:rPr>
          <w:b/>
          <w:bCs/>
        </w:rPr>
        <w:t>3</w:t>
      </w:r>
      <w:r w:rsidRPr="00A87E12">
        <w:rPr>
          <w:b/>
          <w:bCs/>
        </w:rPr>
        <w:t xml:space="preserve">: </w:t>
      </w:r>
      <w:r>
        <w:rPr>
          <w:b/>
          <w:bCs/>
        </w:rPr>
        <w:t xml:space="preserve">RAN2 to discuss how long time a UE can keep its connection alive without RLF if a next cell is </w:t>
      </w:r>
      <w:r w:rsidR="004C068E">
        <w:rPr>
          <w:b/>
          <w:bCs/>
        </w:rPr>
        <w:t xml:space="preserve">close based on the location of the reference point. </w:t>
      </w:r>
    </w:p>
    <w:p w14:paraId="24C4984D" w14:textId="1577F78D" w:rsidR="007806CA" w:rsidRPr="00D47C67" w:rsidRDefault="007806CA" w:rsidP="00F263B8">
      <w:pPr>
        <w:pStyle w:val="Heading2"/>
        <w:jc w:val="both"/>
      </w:pPr>
      <w:r w:rsidRPr="00D47C67">
        <w:t>2.</w:t>
      </w:r>
      <w:r w:rsidR="007B550C">
        <w:t>4</w:t>
      </w:r>
      <w:r w:rsidRPr="00D47C67">
        <w:t xml:space="preserve"> </w:t>
      </w:r>
      <w:r w:rsidR="00A56E2A" w:rsidRPr="00D47C67">
        <w:tab/>
      </w:r>
      <w:r w:rsidRPr="00D47C67">
        <w:t xml:space="preserve">Chain </w:t>
      </w:r>
      <w:r w:rsidR="00FA0EAE" w:rsidRPr="00D47C67">
        <w:t>of Conditional Handovers</w:t>
      </w:r>
    </w:p>
    <w:p w14:paraId="4EA2B91D" w14:textId="6B52CE58" w:rsidR="007806CA" w:rsidRPr="00D47C67" w:rsidRDefault="00E16F8B" w:rsidP="00F263B8">
      <w:pPr>
        <w:jc w:val="both"/>
      </w:pPr>
      <w:r w:rsidRPr="00D47C67">
        <w:t>One of the issues also briefly considered in [1] was whether the CHO commands shall be discarded after HO execution. The question was not precisely asked</w:t>
      </w:r>
      <w:r w:rsidR="00AE544D" w:rsidRPr="00D47C67">
        <w:t xml:space="preserve"> in [1]</w:t>
      </w:r>
      <w:r w:rsidRPr="00D47C67">
        <w:t xml:space="preserve">, as the </w:t>
      </w:r>
      <w:r w:rsidR="007F52AA" w:rsidRPr="00D47C67">
        <w:t>authors of [</w:t>
      </w:r>
      <w:r w:rsidR="00CE498D">
        <w:t>6</w:t>
      </w:r>
      <w:r w:rsidR="007F52AA" w:rsidRPr="00D47C67">
        <w:t>], which was used as the main reference for that topic, clearly stated this is about the CHO commands for the future cells, not other candidates, to be considered in this CHO evaluation</w:t>
      </w:r>
      <w:r w:rsidR="00AE544D" w:rsidRPr="00D47C67">
        <w:t xml:space="preserve"> step</w:t>
      </w:r>
      <w:r w:rsidR="007F52AA" w:rsidRPr="00D47C67">
        <w:t xml:space="preserve">. </w:t>
      </w:r>
      <w:r w:rsidR="00ED7179">
        <w:t xml:space="preserve">The topic was not discussed in detail during </w:t>
      </w:r>
      <w:r w:rsidR="005B74F5">
        <w:t>RAN2#115 (see [7])</w:t>
      </w:r>
      <w:r w:rsidR="00D40256">
        <w:t>. However, a</w:t>
      </w:r>
      <w:r w:rsidR="007F52AA" w:rsidRPr="00D47C67">
        <w:t xml:space="preserve">s in NTN scenario the </w:t>
      </w:r>
      <w:r w:rsidR="007F52AA" w:rsidRPr="00D47C67">
        <w:lastRenderedPageBreak/>
        <w:t xml:space="preserve">sequence of next serving cells can be predicted with high probability (assuming the UE does not move significantly, compared to the satellite coverage), </w:t>
      </w:r>
      <w:r w:rsidR="004959BA" w:rsidRPr="00D47C67">
        <w:t xml:space="preserve">we see some value in preparing the UE for multiple </w:t>
      </w:r>
      <w:r w:rsidR="00E16429" w:rsidRPr="00D47C67">
        <w:t xml:space="preserve">cell </w:t>
      </w:r>
      <w:r w:rsidR="004959BA" w:rsidRPr="00D47C67">
        <w:t xml:space="preserve">hops in advance. </w:t>
      </w:r>
    </w:p>
    <w:p w14:paraId="3035349C" w14:textId="62C2FCE1" w:rsidR="004959BA" w:rsidRPr="00D47C67" w:rsidRDefault="00623740" w:rsidP="00F263B8">
      <w:pPr>
        <w:jc w:val="both"/>
        <w:rPr>
          <w:b/>
          <w:bCs/>
        </w:rPr>
      </w:pPr>
      <w:r w:rsidRPr="00D47C67">
        <w:rPr>
          <w:b/>
          <w:bCs/>
        </w:rPr>
        <w:t xml:space="preserve">Proposal </w:t>
      </w:r>
      <w:r w:rsidR="005113A0">
        <w:rPr>
          <w:b/>
          <w:bCs/>
        </w:rPr>
        <w:t>4</w:t>
      </w:r>
      <w:r w:rsidR="004959BA" w:rsidRPr="00D47C67">
        <w:rPr>
          <w:b/>
          <w:bCs/>
        </w:rPr>
        <w:t xml:space="preserve">: </w:t>
      </w:r>
      <w:r w:rsidR="00264557" w:rsidRPr="00D47C67">
        <w:rPr>
          <w:b/>
          <w:bCs/>
        </w:rPr>
        <w:t xml:space="preserve">RAN2 is asked to support the mechanism, where the UE can be provided with CHO configurations for cells beyond the next cell change (future candidate cells). </w:t>
      </w:r>
    </w:p>
    <w:p w14:paraId="5C5A62C5" w14:textId="6D6C27C4" w:rsidR="00623740" w:rsidRPr="00D47C67" w:rsidRDefault="00623740" w:rsidP="00F263B8">
      <w:pPr>
        <w:jc w:val="both"/>
      </w:pPr>
      <w:r w:rsidRPr="00D47C67">
        <w:t xml:space="preserve">As shown in Fig. </w:t>
      </w:r>
      <w:r w:rsidR="00D62FE3">
        <w:t>2</w:t>
      </w:r>
      <w:r w:rsidRPr="00D47C67">
        <w:t xml:space="preserve"> </w:t>
      </w:r>
      <w:r w:rsidR="000D0687" w:rsidRPr="00D47C67">
        <w:t xml:space="preserve">a single satellite may provide coverage of several cells. UE is relatively static, at least compared to the velocity of the satellite, so it is quite likely the UE will be served by cell B </w:t>
      </w:r>
      <w:r w:rsidR="000723C8" w:rsidRPr="00D47C67">
        <w:t>directly after being served by cell A.</w:t>
      </w:r>
    </w:p>
    <w:p w14:paraId="1CAC94F1" w14:textId="3C3DE71F" w:rsidR="00623740" w:rsidRPr="00D47C67" w:rsidRDefault="00623740" w:rsidP="00623740">
      <w:pPr>
        <w:keepNext/>
        <w:jc w:val="center"/>
      </w:pPr>
      <w:r w:rsidRPr="00D47C67">
        <w:rPr>
          <w:b/>
          <w:bCs/>
          <w:noProof/>
        </w:rPr>
        <w:drawing>
          <wp:inline distT="0" distB="0" distL="0" distR="0" wp14:anchorId="76BDDB7E" wp14:editId="04CBD21B">
            <wp:extent cx="3335020" cy="1889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5020" cy="1889760"/>
                    </a:xfrm>
                    <a:prstGeom prst="rect">
                      <a:avLst/>
                    </a:prstGeom>
                    <a:noFill/>
                  </pic:spPr>
                </pic:pic>
              </a:graphicData>
            </a:graphic>
          </wp:inline>
        </w:drawing>
      </w:r>
    </w:p>
    <w:p w14:paraId="0E33AFF5" w14:textId="693E76D9" w:rsidR="00623740" w:rsidRPr="00666705" w:rsidRDefault="00623740" w:rsidP="00666705">
      <w:pPr>
        <w:pStyle w:val="Caption"/>
        <w:rPr>
          <w:b/>
          <w:bCs/>
          <w:i w:val="0"/>
          <w:iCs w:val="0"/>
          <w:color w:val="auto"/>
          <w:sz w:val="16"/>
          <w:szCs w:val="16"/>
        </w:rPr>
      </w:pPr>
      <w:r w:rsidRPr="00666705">
        <w:rPr>
          <w:i w:val="0"/>
          <w:iCs w:val="0"/>
          <w:color w:val="auto"/>
          <w:sz w:val="16"/>
          <w:szCs w:val="16"/>
        </w:rPr>
        <w:t xml:space="preserve">Fig. </w:t>
      </w:r>
      <w:r w:rsidR="006101AF" w:rsidRPr="00666705">
        <w:rPr>
          <w:i w:val="0"/>
          <w:iCs w:val="0"/>
          <w:color w:val="auto"/>
          <w:sz w:val="16"/>
          <w:szCs w:val="16"/>
        </w:rPr>
        <w:t>3</w:t>
      </w:r>
      <w:r w:rsidRPr="00666705">
        <w:rPr>
          <w:i w:val="0"/>
          <w:iCs w:val="0"/>
          <w:color w:val="auto"/>
          <w:sz w:val="16"/>
          <w:szCs w:val="16"/>
        </w:rPr>
        <w:t xml:space="preserve">. </w:t>
      </w:r>
      <w:r w:rsidR="000723C8" w:rsidRPr="00666705">
        <w:rPr>
          <w:i w:val="0"/>
          <w:iCs w:val="0"/>
          <w:color w:val="auto"/>
          <w:sz w:val="16"/>
          <w:szCs w:val="16"/>
        </w:rPr>
        <w:t>Current serving and next prepared cells in the c</w:t>
      </w:r>
      <w:r w:rsidRPr="00666705">
        <w:rPr>
          <w:i w:val="0"/>
          <w:iCs w:val="0"/>
          <w:color w:val="auto"/>
          <w:sz w:val="16"/>
          <w:szCs w:val="16"/>
        </w:rPr>
        <w:t>hain of CHOs</w:t>
      </w:r>
    </w:p>
    <w:p w14:paraId="61E4F997" w14:textId="77777777" w:rsidR="00B87C1B" w:rsidRPr="00D47C67" w:rsidRDefault="00603D49" w:rsidP="00F263B8">
      <w:pPr>
        <w:jc w:val="both"/>
      </w:pPr>
      <w:r w:rsidRPr="00D47C67">
        <w:t xml:space="preserve">In such case, it would make sense if the UE is provided in advance with the cell-specific resources/configurations for one or more next serving cells. Such set of configurations can be also equipped with time validity, in order not to </w:t>
      </w:r>
      <w:r w:rsidR="00B87C1B" w:rsidRPr="00D47C67">
        <w:t>reserve too many resources on the network side much earlier than needed. The expected time of stay can be used for roughly assessing when each UE is expected to access subsequent CHO candidate cells.</w:t>
      </w:r>
    </w:p>
    <w:p w14:paraId="7A04FA84" w14:textId="1C624B5C" w:rsidR="00A84AD3" w:rsidRPr="00D47C67" w:rsidRDefault="00B87C1B" w:rsidP="00F263B8">
      <w:pPr>
        <w:jc w:val="both"/>
        <w:rPr>
          <w:b/>
          <w:bCs/>
        </w:rPr>
      </w:pPr>
      <w:r w:rsidRPr="00D47C67">
        <w:rPr>
          <w:b/>
          <w:bCs/>
        </w:rPr>
        <w:t xml:space="preserve">Proposal </w:t>
      </w:r>
      <w:r w:rsidR="005113A0">
        <w:rPr>
          <w:b/>
          <w:bCs/>
        </w:rPr>
        <w:t>5</w:t>
      </w:r>
      <w:r w:rsidRPr="00D47C67">
        <w:rPr>
          <w:b/>
          <w:bCs/>
        </w:rPr>
        <w:t xml:space="preserve">: </w:t>
      </w:r>
      <w:r w:rsidR="00A84AD3" w:rsidRPr="00D47C67">
        <w:rPr>
          <w:b/>
          <w:bCs/>
        </w:rPr>
        <w:t>UE’s expected time of stay in the cell can be used for avoiding too early resource reservations.</w:t>
      </w:r>
    </w:p>
    <w:p w14:paraId="6A69216A" w14:textId="01F1CAD0" w:rsidR="00A84AD3" w:rsidRPr="00D47C67" w:rsidRDefault="00A84AD3" w:rsidP="00F263B8">
      <w:pPr>
        <w:jc w:val="both"/>
      </w:pPr>
      <w:r w:rsidRPr="00D47C67">
        <w:t xml:space="preserve">When the UE accesses the next prepared cell (cell B in the example depicted in Fig. </w:t>
      </w:r>
      <w:r w:rsidR="00D62FE3">
        <w:t>2</w:t>
      </w:r>
      <w:r w:rsidRPr="00D47C67">
        <w:t>)</w:t>
      </w:r>
      <w:r w:rsidR="004D1CE4" w:rsidRPr="00D47C67">
        <w:t xml:space="preserve"> it may inform the new serving cell of the presence of CHO chain configuration (</w:t>
      </w:r>
      <w:r w:rsidR="00AD3755" w:rsidRPr="00D47C67">
        <w:t xml:space="preserve">e.g. </w:t>
      </w:r>
      <w:r w:rsidR="004D1CE4" w:rsidRPr="00D47C67">
        <w:t>in case th</w:t>
      </w:r>
      <w:r w:rsidR="00BB020E" w:rsidRPr="00D47C67">
        <w:t>e chain</w:t>
      </w:r>
      <w:r w:rsidR="004D1CE4" w:rsidRPr="00D47C67">
        <w:t xml:space="preserve"> has not been properly propagated over the network nodes, including the UE’s unique identifier</w:t>
      </w:r>
      <w:r w:rsidR="0077682B" w:rsidRPr="00D47C67">
        <w:t xml:space="preserve"> so that the </w:t>
      </w:r>
      <w:r w:rsidR="00C71CF6" w:rsidRPr="00D47C67">
        <w:t xml:space="preserve">subsequent cells are able to determine </w:t>
      </w:r>
      <w:r w:rsidR="00236FD4" w:rsidRPr="00D47C67">
        <w:t>for which users the resources were reserved</w:t>
      </w:r>
      <w:r w:rsidR="004D1CE4" w:rsidRPr="00D47C67">
        <w:t xml:space="preserve">). </w:t>
      </w:r>
      <w:r w:rsidR="009177F4" w:rsidRPr="00D47C67">
        <w:t>That would allow the new serving cell to determine if the chain of CHO configurations is valid</w:t>
      </w:r>
      <w:r w:rsidR="00BB020E" w:rsidRPr="00D47C67">
        <w:t xml:space="preserve"> or the UE shall be perhaps reconfigured.</w:t>
      </w:r>
      <w:r w:rsidR="009177F4" w:rsidRPr="00D47C67">
        <w:t xml:space="preserve"> </w:t>
      </w:r>
    </w:p>
    <w:p w14:paraId="62BBB75F" w14:textId="33FE3E7E" w:rsidR="00CF3163" w:rsidRPr="00D47C67" w:rsidRDefault="009177F4" w:rsidP="00F263B8">
      <w:pPr>
        <w:jc w:val="both"/>
        <w:rPr>
          <w:b/>
          <w:bCs/>
        </w:rPr>
      </w:pPr>
      <w:r w:rsidRPr="00D47C67">
        <w:rPr>
          <w:b/>
          <w:bCs/>
        </w:rPr>
        <w:t xml:space="preserve">Proposal </w:t>
      </w:r>
      <w:r w:rsidR="005113A0">
        <w:rPr>
          <w:b/>
          <w:bCs/>
        </w:rPr>
        <w:t>6</w:t>
      </w:r>
      <w:r w:rsidRPr="00D47C67">
        <w:rPr>
          <w:b/>
          <w:bCs/>
        </w:rPr>
        <w:t xml:space="preserve">: </w:t>
      </w:r>
      <w:r w:rsidR="00CF3163" w:rsidRPr="00D47C67">
        <w:rPr>
          <w:b/>
          <w:bCs/>
        </w:rPr>
        <w:t xml:space="preserve">When accessing the new cell, </w:t>
      </w:r>
      <w:r w:rsidR="00BB020E" w:rsidRPr="00D47C67">
        <w:rPr>
          <w:b/>
          <w:bCs/>
        </w:rPr>
        <w:t>UE may report</w:t>
      </w:r>
      <w:r w:rsidR="00E658DE" w:rsidRPr="00D47C67">
        <w:rPr>
          <w:b/>
          <w:bCs/>
        </w:rPr>
        <w:t xml:space="preserve"> it was configured with the chain of CHO configurations</w:t>
      </w:r>
      <w:r w:rsidR="00236FD4" w:rsidRPr="00D47C67">
        <w:rPr>
          <w:b/>
          <w:bCs/>
        </w:rPr>
        <w:t xml:space="preserve"> in </w:t>
      </w:r>
      <w:r w:rsidR="00BE4038" w:rsidRPr="00D47C67">
        <w:rPr>
          <w:b/>
          <w:bCs/>
        </w:rPr>
        <w:t>one of the preceding cells</w:t>
      </w:r>
      <w:r w:rsidR="00CF3163" w:rsidRPr="00D47C67">
        <w:rPr>
          <w:b/>
          <w:bCs/>
        </w:rPr>
        <w:t>.</w:t>
      </w:r>
    </w:p>
    <w:p w14:paraId="60069600" w14:textId="23822233" w:rsidR="0049765F" w:rsidRPr="00882079" w:rsidRDefault="00F17BD7" w:rsidP="00F263B8">
      <w:pPr>
        <w:jc w:val="both"/>
      </w:pPr>
      <w:r w:rsidRPr="00882079">
        <w:t xml:space="preserve">We </w:t>
      </w:r>
      <w:r w:rsidR="00BE28F9">
        <w:t>are aware</w:t>
      </w:r>
      <w:r w:rsidR="00A64233" w:rsidRPr="00882079">
        <w:t xml:space="preserve"> the time until the end of Rel-17 is scarce,</w:t>
      </w:r>
      <w:r w:rsidR="00BE28F9">
        <w:t xml:space="preserve"> while RAN2 has few other more urgent things to address. However, we feel this kind of approach is </w:t>
      </w:r>
      <w:r w:rsidR="002C7E74">
        <w:t xml:space="preserve">an </w:t>
      </w:r>
      <w:r w:rsidR="00264022">
        <w:t xml:space="preserve">attractive and efficient </w:t>
      </w:r>
      <w:r w:rsidR="00882079">
        <w:t>addition to NTN system specifically. Thus, if not supported in Rel-17, shall be seriously considered in the follow-up work (e.g. Rel-18</w:t>
      </w:r>
      <w:r w:rsidR="002D562F">
        <w:t xml:space="preserve">, </w:t>
      </w:r>
      <w:r w:rsidR="00B0325E">
        <w:t xml:space="preserve">whose scope is </w:t>
      </w:r>
      <w:r w:rsidR="002D562F">
        <w:t>currently debated</w:t>
      </w:r>
      <w:r w:rsidR="00882079">
        <w:t xml:space="preserve">). </w:t>
      </w:r>
    </w:p>
    <w:p w14:paraId="187C0E8E" w14:textId="3DFBC21B" w:rsidR="000A4FF1" w:rsidRPr="00BC2F73" w:rsidRDefault="000A4FF1" w:rsidP="000A4FF1">
      <w:pPr>
        <w:pStyle w:val="Heading2"/>
      </w:pPr>
      <w:r w:rsidRPr="00BC2F73">
        <w:t>2.</w:t>
      </w:r>
      <w:r>
        <w:t>5</w:t>
      </w:r>
      <w:r w:rsidRPr="00BC2F73">
        <w:t xml:space="preserve"> </w:t>
      </w:r>
      <w:r>
        <w:t>Minimizing CHO execution latency in NTN and enhancing event</w:t>
      </w:r>
      <w:r w:rsidR="00292DEC">
        <w:t xml:space="preserve"> </w:t>
      </w:r>
      <w:r>
        <w:t>A4 entering and leaving criteria</w:t>
      </w:r>
    </w:p>
    <w:p w14:paraId="0EDE292D" w14:textId="77777777" w:rsidR="0049765F" w:rsidRPr="00D00D6B" w:rsidRDefault="0049765F" w:rsidP="0049765F">
      <w:pPr>
        <w:jc w:val="both"/>
      </w:pPr>
      <w:r w:rsidRPr="00D00D6B">
        <w:t>In [</w:t>
      </w:r>
      <w:r>
        <w:t>1]</w:t>
      </w:r>
      <w:r w:rsidRPr="00D00D6B">
        <w:t xml:space="preserve"> </w:t>
      </w:r>
      <w:r>
        <w:t>following was agreed:</w:t>
      </w:r>
    </w:p>
    <w:p w14:paraId="7BDE509A" w14:textId="77777777" w:rsidR="0049765F" w:rsidRDefault="0049765F" w:rsidP="0049765F">
      <w:pPr>
        <w:pStyle w:val="ListBullet"/>
        <w:numPr>
          <w:ilvl w:val="0"/>
          <w:numId w:val="15"/>
        </w:numPr>
        <w:tabs>
          <w:tab w:val="left" w:pos="1304"/>
        </w:tabs>
        <w:rPr>
          <w:i/>
          <w:iCs/>
          <w:lang w:val="en-US"/>
        </w:rPr>
      </w:pPr>
      <w:r w:rsidRPr="00A20678">
        <w:rPr>
          <w:i/>
          <w:iCs/>
          <w:lang w:val="en-US"/>
        </w:rPr>
        <w:t>Support A4 event for NTN CHO. FFS whether other triggers need to be combined with this.</w:t>
      </w:r>
    </w:p>
    <w:p w14:paraId="1AC71910" w14:textId="77777777" w:rsidR="0049765F" w:rsidRPr="00D00D6B" w:rsidRDefault="0049765F" w:rsidP="0049765F">
      <w:pPr>
        <w:jc w:val="both"/>
      </w:pPr>
      <w:r w:rsidRPr="00D00D6B">
        <w:t>In [</w:t>
      </w:r>
      <w:r>
        <w:t>4]</w:t>
      </w:r>
      <w:r w:rsidRPr="00D00D6B">
        <w:t xml:space="preserve"> </w:t>
      </w:r>
      <w:r>
        <w:t>following was agreed:</w:t>
      </w:r>
    </w:p>
    <w:p w14:paraId="63192AB1" w14:textId="77777777" w:rsidR="0049765F" w:rsidRDefault="0049765F" w:rsidP="0049765F">
      <w:pPr>
        <w:pStyle w:val="ListBullet"/>
        <w:numPr>
          <w:ilvl w:val="0"/>
          <w:numId w:val="15"/>
        </w:numPr>
        <w:tabs>
          <w:tab w:val="left" w:pos="1304"/>
        </w:tabs>
        <w:rPr>
          <w:i/>
          <w:iCs/>
          <w:lang w:val="en-US"/>
        </w:rPr>
      </w:pPr>
      <w:r>
        <w:rPr>
          <w:i/>
          <w:iCs/>
          <w:lang w:val="en-US"/>
        </w:rPr>
        <w:t>For CHO, joint configuration of location and RSRP as well as time and RSRP are supported.</w:t>
      </w:r>
    </w:p>
    <w:p w14:paraId="5787A4C3" w14:textId="77777777" w:rsidR="0049765F" w:rsidRDefault="0049765F" w:rsidP="0049765F">
      <w:pPr>
        <w:pStyle w:val="ListBullet"/>
        <w:numPr>
          <w:ilvl w:val="0"/>
          <w:numId w:val="15"/>
        </w:numPr>
        <w:tabs>
          <w:tab w:val="left" w:pos="1304"/>
        </w:tabs>
        <w:rPr>
          <w:i/>
          <w:iCs/>
          <w:lang w:val="en-US"/>
        </w:rPr>
      </w:pPr>
      <w:r w:rsidRPr="00A20678">
        <w:rPr>
          <w:i/>
          <w:iCs/>
          <w:lang w:val="en-US"/>
        </w:rPr>
        <w:t xml:space="preserve">CHO time trigger event is defined as time duration [t1, t2] associated for each CHO candidate cell. The UE shall execute CHO to that candidate cell during the time </w:t>
      </w:r>
      <w:proofErr w:type="gramStart"/>
      <w:r w:rsidRPr="00A20678">
        <w:rPr>
          <w:i/>
          <w:iCs/>
          <w:lang w:val="en-US"/>
        </w:rPr>
        <w:t>duration, if</w:t>
      </w:r>
      <w:proofErr w:type="gramEnd"/>
      <w:r w:rsidRPr="00A20678">
        <w:rPr>
          <w:i/>
          <w:iCs/>
          <w:lang w:val="en-US"/>
        </w:rPr>
        <w:t xml:space="preserve"> all other configured CHO execution conditions will apply and there is only one triggered candidate cell.</w:t>
      </w:r>
    </w:p>
    <w:p w14:paraId="09C8AC3A" w14:textId="77777777" w:rsidR="0049765F" w:rsidRDefault="0049765F" w:rsidP="0049765F">
      <w:pPr>
        <w:pStyle w:val="ListBullet"/>
        <w:numPr>
          <w:ilvl w:val="0"/>
          <w:numId w:val="15"/>
        </w:numPr>
        <w:tabs>
          <w:tab w:val="left" w:pos="1304"/>
        </w:tabs>
        <w:rPr>
          <w:i/>
          <w:iCs/>
          <w:lang w:val="en-US"/>
        </w:rPr>
      </w:pPr>
      <w:r w:rsidRPr="009A6232">
        <w:rPr>
          <w:i/>
          <w:iCs/>
          <w:lang w:val="en-US"/>
        </w:rPr>
        <w:t>Same CHO trigger conditions and RRM events can be used within NTN and NTN-TN mobility provided these are supported by the UE. NTN-TN means both “from NTN to TN (hand-in)” and “from NTN to TN (hand-in) and from TN to NTN (hand-out)". FFS for enhancements.</w:t>
      </w:r>
    </w:p>
    <w:p w14:paraId="7283E94F" w14:textId="77777777" w:rsidR="0049765F" w:rsidRPr="00DE322F" w:rsidRDefault="0049765F" w:rsidP="0049765F">
      <w:pPr>
        <w:pStyle w:val="ListBullet"/>
        <w:tabs>
          <w:tab w:val="clear" w:pos="360"/>
          <w:tab w:val="left" w:pos="1304"/>
        </w:tabs>
        <w:ind w:left="0" w:firstLine="0"/>
        <w:rPr>
          <w:rFonts w:ascii="Times New Roman" w:eastAsia="Times New Roman" w:hAnsi="Times New Roman" w:cs="Times New Roman"/>
          <w:sz w:val="20"/>
          <w:szCs w:val="20"/>
          <w:lang w:val="en-GB" w:eastAsia="en-US"/>
        </w:rPr>
      </w:pPr>
      <w:r w:rsidRPr="00DE322F">
        <w:rPr>
          <w:rFonts w:ascii="Times New Roman" w:eastAsia="Times New Roman" w:hAnsi="Times New Roman" w:cs="Times New Roman"/>
          <w:sz w:val="20"/>
          <w:szCs w:val="20"/>
          <w:lang w:val="en-GB" w:eastAsia="en-US"/>
        </w:rPr>
        <w:t xml:space="preserve">And </w:t>
      </w:r>
      <w:r>
        <w:rPr>
          <w:rFonts w:ascii="Times New Roman" w:eastAsia="Times New Roman" w:hAnsi="Times New Roman" w:cs="Times New Roman"/>
          <w:sz w:val="20"/>
          <w:szCs w:val="20"/>
          <w:lang w:val="en-GB" w:eastAsia="en-US"/>
        </w:rPr>
        <w:t>in [5] following was agreed:</w:t>
      </w:r>
    </w:p>
    <w:p w14:paraId="499A7D66" w14:textId="77777777" w:rsidR="0049765F" w:rsidRDefault="0049765F" w:rsidP="0049765F">
      <w:pPr>
        <w:pStyle w:val="ListBullet"/>
        <w:numPr>
          <w:ilvl w:val="0"/>
          <w:numId w:val="15"/>
        </w:numPr>
        <w:tabs>
          <w:tab w:val="left" w:pos="1304"/>
        </w:tabs>
        <w:rPr>
          <w:i/>
          <w:iCs/>
          <w:lang w:val="en-US"/>
        </w:rPr>
      </w:pPr>
      <w:r w:rsidRPr="00DE322F">
        <w:rPr>
          <w:i/>
          <w:iCs/>
          <w:lang w:val="en-US"/>
        </w:rPr>
        <w:t>Specify hysteresis and time to trigger for the location event for RRM and CHO</w:t>
      </w:r>
    </w:p>
    <w:p w14:paraId="46C99C14" w14:textId="77777777" w:rsidR="0049765F" w:rsidRPr="00DE322F" w:rsidRDefault="0049765F" w:rsidP="0049765F">
      <w:pPr>
        <w:pStyle w:val="ListBullet"/>
        <w:numPr>
          <w:ilvl w:val="0"/>
          <w:numId w:val="15"/>
        </w:numPr>
        <w:tabs>
          <w:tab w:val="left" w:pos="1304"/>
        </w:tabs>
        <w:rPr>
          <w:i/>
          <w:iCs/>
          <w:lang w:val="en-US"/>
        </w:rPr>
      </w:pPr>
      <w:r w:rsidRPr="00CB023B">
        <w:rPr>
          <w:i/>
          <w:iCs/>
          <w:lang w:val="en-US"/>
        </w:rPr>
        <w:t>UE is allowed to perform HO only during T1 to T2</w:t>
      </w:r>
    </w:p>
    <w:p w14:paraId="3F7585EE" w14:textId="77777777" w:rsidR="0049765F" w:rsidRDefault="0049765F" w:rsidP="0049765F">
      <w:pPr>
        <w:pStyle w:val="ListBullet"/>
        <w:tabs>
          <w:tab w:val="clear" w:pos="360"/>
          <w:tab w:val="left" w:pos="1304"/>
        </w:tabs>
        <w:rPr>
          <w:lang w:val="en-US"/>
        </w:rPr>
      </w:pPr>
    </w:p>
    <w:p w14:paraId="1A9FCD0F" w14:textId="1180271D" w:rsidR="0049765F" w:rsidRPr="00852028" w:rsidRDefault="0049765F" w:rsidP="0049765F">
      <w:pPr>
        <w:jc w:val="both"/>
        <w:rPr>
          <w:lang w:val="en-US"/>
        </w:rPr>
      </w:pPr>
      <w:r w:rsidRPr="00852028">
        <w:rPr>
          <w:lang w:val="en-US"/>
        </w:rPr>
        <w:t xml:space="preserve">The </w:t>
      </w:r>
      <w:r>
        <w:rPr>
          <w:lang w:val="en-US"/>
        </w:rPr>
        <w:t xml:space="preserve">results of system </w:t>
      </w:r>
      <w:r w:rsidRPr="00852028">
        <w:rPr>
          <w:lang w:val="en-US"/>
        </w:rPr>
        <w:t xml:space="preserve">simulation </w:t>
      </w:r>
      <w:r>
        <w:rPr>
          <w:lang w:val="en-US"/>
        </w:rPr>
        <w:t xml:space="preserve">of NTN scenarios </w:t>
      </w:r>
      <w:r w:rsidR="00085390">
        <w:rPr>
          <w:lang w:val="en-US"/>
        </w:rPr>
        <w:t>[8]</w:t>
      </w:r>
      <w:r>
        <w:rPr>
          <w:lang w:val="en-US"/>
        </w:rPr>
        <w:t xml:space="preserve"> </w:t>
      </w:r>
      <w:r w:rsidRPr="00852028">
        <w:rPr>
          <w:lang w:val="en-US"/>
        </w:rPr>
        <w:t xml:space="preserve">shows that HO failures are lower when the HO margin (CIO) and Time-To-Trigger (TTT) are configured low </w:t>
      </w:r>
      <w:r>
        <w:rPr>
          <w:lang w:val="en-US"/>
        </w:rPr>
        <w:t xml:space="preserve">and the </w:t>
      </w:r>
      <w:r w:rsidRPr="00852028">
        <w:rPr>
          <w:lang w:val="en-US"/>
        </w:rPr>
        <w:t>best achievable performance is reached when CIO and TTT are both set to 0, however this results into considerable increase in Radio Link Failures</w:t>
      </w:r>
      <w:r>
        <w:rPr>
          <w:lang w:val="en-US"/>
        </w:rPr>
        <w:t xml:space="preserve"> </w:t>
      </w:r>
      <w:r w:rsidRPr="00852028">
        <w:rPr>
          <w:lang w:val="en-US"/>
        </w:rPr>
        <w:t>(RLFs). Analysis of the results indicate that the mobility performance is dominated by HOs happening too late</w:t>
      </w:r>
      <w:r>
        <w:rPr>
          <w:lang w:val="en-US"/>
        </w:rPr>
        <w:t xml:space="preserve"> when the </w:t>
      </w:r>
      <w:r w:rsidRPr="00852028">
        <w:rPr>
          <w:lang w:val="en-US"/>
        </w:rPr>
        <w:t>serving cell radio link is too weak.</w:t>
      </w:r>
      <w:r>
        <w:rPr>
          <w:lang w:val="en-US"/>
        </w:rPr>
        <w:t xml:space="preserve"> </w:t>
      </w:r>
    </w:p>
    <w:p w14:paraId="7F8A8ADE" w14:textId="77777777" w:rsidR="0049765F" w:rsidRDefault="0049765F" w:rsidP="0049765F">
      <w:pPr>
        <w:jc w:val="both"/>
        <w:rPr>
          <w:lang w:val="en-US"/>
        </w:rPr>
      </w:pPr>
      <w:r>
        <w:rPr>
          <w:lang w:val="en-US"/>
        </w:rPr>
        <w:t>Due to the long</w:t>
      </w:r>
      <w:r w:rsidRPr="00852028">
        <w:rPr>
          <w:lang w:val="en-US"/>
        </w:rPr>
        <w:t xml:space="preserve"> propagation delays</w:t>
      </w:r>
      <w:r>
        <w:rPr>
          <w:lang w:val="en-US"/>
        </w:rPr>
        <w:t xml:space="preserve"> in NTN, t</w:t>
      </w:r>
      <w:r w:rsidRPr="00852028">
        <w:rPr>
          <w:lang w:val="en-US"/>
        </w:rPr>
        <w:t xml:space="preserve">he RTT </w:t>
      </w:r>
      <w:r>
        <w:rPr>
          <w:lang w:val="en-US"/>
        </w:rPr>
        <w:t>over satellite radio interface (</w:t>
      </w:r>
      <w:proofErr w:type="spellStart"/>
      <w:r>
        <w:rPr>
          <w:lang w:val="en-US"/>
        </w:rPr>
        <w:t>Uu</w:t>
      </w:r>
      <w:proofErr w:type="spellEnd"/>
      <w:r>
        <w:rPr>
          <w:lang w:val="en-US"/>
        </w:rPr>
        <w:t xml:space="preserve">) </w:t>
      </w:r>
      <w:r w:rsidRPr="00852028">
        <w:rPr>
          <w:lang w:val="en-US"/>
        </w:rPr>
        <w:t xml:space="preserve">could range between 10 to 20ms </w:t>
      </w:r>
      <w:r>
        <w:rPr>
          <w:lang w:val="en-US"/>
        </w:rPr>
        <w:t>(</w:t>
      </w:r>
      <w:r w:rsidRPr="00852028">
        <w:rPr>
          <w:lang w:val="en-US"/>
        </w:rPr>
        <w:t xml:space="preserve">based on altitude of the satellite between the UE and the network and the speed of satellite movement </w:t>
      </w:r>
      <w:proofErr w:type="gramStart"/>
      <w:r>
        <w:rPr>
          <w:lang w:val="en-US"/>
        </w:rPr>
        <w:t>i.e.</w:t>
      </w:r>
      <w:proofErr w:type="gramEnd"/>
      <w:r>
        <w:rPr>
          <w:lang w:val="en-US"/>
        </w:rPr>
        <w:t xml:space="preserve"> </w:t>
      </w:r>
      <w:r w:rsidRPr="00852028">
        <w:rPr>
          <w:lang w:val="en-US"/>
        </w:rPr>
        <w:t xml:space="preserve">7.5 km/s relative to Earth). </w:t>
      </w:r>
    </w:p>
    <w:p w14:paraId="00FE5F5D" w14:textId="77777777" w:rsidR="0049765F" w:rsidRDefault="0049765F" w:rsidP="0049765F">
      <w:pPr>
        <w:jc w:val="both"/>
        <w:rPr>
          <w:lang w:val="en-US"/>
        </w:rPr>
      </w:pPr>
      <w:r>
        <w:rPr>
          <w:lang w:val="en-US"/>
        </w:rPr>
        <w:t xml:space="preserve">Given that it is agreed for NTN to use a combination of CHO trigger events and RSRP measurements and/or RRM events for CHO execution, coupled with the requirement, the UE needs to perform HO only during the configured T1 and T2; for the case event A4 is monitored along with configured CHO trigger conditions, it is found beneficial to enhance the A4 entering and leaving condition in a way that the latency between the UE and the network is partially compensated. </w:t>
      </w:r>
    </w:p>
    <w:p w14:paraId="399D17E0" w14:textId="5266CFD3" w:rsidR="0049765F" w:rsidRPr="005B1BBF" w:rsidRDefault="0049765F" w:rsidP="0049765F">
      <w:pPr>
        <w:jc w:val="both"/>
        <w:rPr>
          <w:iCs/>
          <w:lang w:val="en-US"/>
        </w:rPr>
      </w:pPr>
      <w:r>
        <w:rPr>
          <w:lang w:val="en-US"/>
        </w:rPr>
        <w:t>This could be achieved by allowing the network to configure additional parameters (</w:t>
      </w:r>
      <w:proofErr w:type="gramStart"/>
      <w:r>
        <w:rPr>
          <w:lang w:val="en-US"/>
        </w:rPr>
        <w:t>e.g.</w:t>
      </w:r>
      <w:proofErr w:type="gramEnd"/>
      <w:r>
        <w:rPr>
          <w:lang w:val="en-US"/>
        </w:rPr>
        <w:t xml:space="preserve"> </w:t>
      </w:r>
      <w:proofErr w:type="spellStart"/>
      <w:r>
        <w:rPr>
          <w:rFonts w:ascii="Georgia" w:hAnsi="Georgia" w:cs="Arial"/>
          <w:sz w:val="22"/>
          <w:szCs w:val="22"/>
        </w:rPr>
        <w:t>t</w:t>
      </w:r>
      <w:r>
        <w:rPr>
          <w:rFonts w:ascii="Georgia" w:hAnsi="Georgia" w:cs="Arial"/>
          <w:sz w:val="22"/>
          <w:szCs w:val="22"/>
          <w:vertAlign w:val="subscript"/>
        </w:rPr>
        <w:t>offset</w:t>
      </w:r>
      <w:proofErr w:type="spellEnd"/>
      <w:r>
        <w:rPr>
          <w:lang w:val="en-US"/>
        </w:rPr>
        <w:t xml:space="preserve">) in </w:t>
      </w:r>
      <w:proofErr w:type="spellStart"/>
      <w:r w:rsidRPr="009C7017">
        <w:rPr>
          <w:i/>
        </w:rPr>
        <w:t>measObjectNR</w:t>
      </w:r>
      <w:proofErr w:type="spellEnd"/>
      <w:r>
        <w:rPr>
          <w:i/>
        </w:rPr>
        <w:t xml:space="preserve"> </w:t>
      </w:r>
      <w:r>
        <w:rPr>
          <w:lang w:val="en-US"/>
        </w:rPr>
        <w:t>based on its knowledge of expected propagation delay;</w:t>
      </w:r>
      <w:r>
        <w:rPr>
          <w:i/>
        </w:rPr>
        <w:t xml:space="preserve"> </w:t>
      </w:r>
      <w:r w:rsidRPr="005B1BBF">
        <w:rPr>
          <w:iCs/>
        </w:rPr>
        <w:t xml:space="preserve">where </w:t>
      </w:r>
      <w:r>
        <w:rPr>
          <w:iCs/>
        </w:rPr>
        <w:t>‘</w:t>
      </w:r>
      <w:proofErr w:type="spellStart"/>
      <w:r>
        <w:rPr>
          <w:rFonts w:ascii="Georgia" w:hAnsi="Georgia"/>
          <w:sz w:val="22"/>
          <w:szCs w:val="22"/>
          <w:lang w:val="en-US"/>
        </w:rPr>
        <w:t>t</w:t>
      </w:r>
      <w:r>
        <w:rPr>
          <w:rFonts w:ascii="Georgia" w:hAnsi="Georgia"/>
          <w:sz w:val="22"/>
          <w:szCs w:val="22"/>
          <w:vertAlign w:val="subscript"/>
          <w:lang w:val="en-US"/>
        </w:rPr>
        <w:t>offset</w:t>
      </w:r>
      <w:proofErr w:type="spellEnd"/>
      <w:r>
        <w:rPr>
          <w:iCs/>
        </w:rPr>
        <w:t>’ indicate</w:t>
      </w:r>
      <w:r w:rsidR="00A67399">
        <w:rPr>
          <w:iCs/>
        </w:rPr>
        <w:t>s</w:t>
      </w:r>
      <w:r>
        <w:rPr>
          <w:iCs/>
        </w:rPr>
        <w:t xml:space="preserve"> the time RSRP of target cell is offset dB better than the source cell. Based on the slope of measured RSRP of consecutive measurements, the UE can estimate the ‘</w:t>
      </w:r>
      <w:proofErr w:type="spellStart"/>
      <w:r>
        <w:rPr>
          <w:rFonts w:ascii="Georgia" w:hAnsi="Georgia"/>
          <w:sz w:val="22"/>
          <w:szCs w:val="22"/>
          <w:lang w:val="en-US"/>
        </w:rPr>
        <w:t>t</w:t>
      </w:r>
      <w:r>
        <w:rPr>
          <w:rFonts w:ascii="Georgia" w:hAnsi="Georgia"/>
          <w:sz w:val="22"/>
          <w:szCs w:val="22"/>
          <w:vertAlign w:val="subscript"/>
          <w:lang w:val="en-US"/>
        </w:rPr>
        <w:t>offset</w:t>
      </w:r>
      <w:proofErr w:type="spellEnd"/>
      <w:r>
        <w:rPr>
          <w:iCs/>
        </w:rPr>
        <w:t xml:space="preserve">’, and can </w:t>
      </w:r>
      <w:r w:rsidRPr="00547D60">
        <w:rPr>
          <w:iCs/>
        </w:rPr>
        <w:t>pre-emptively</w:t>
      </w:r>
      <w:r>
        <w:rPr>
          <w:iCs/>
        </w:rPr>
        <w:t xml:space="preserve"> send the HO command to the target cell when the configured CHO trigger conditions are met. Thus, the </w:t>
      </w:r>
      <w:proofErr w:type="spellStart"/>
      <w:r>
        <w:rPr>
          <w:iCs/>
        </w:rPr>
        <w:t>Uu</w:t>
      </w:r>
      <w:proofErr w:type="spellEnd"/>
      <w:r>
        <w:rPr>
          <w:iCs/>
        </w:rPr>
        <w:t xml:space="preserve"> latency in NTN is partially compensated and the too late HOs could be controlled, which further aid in minimiz</w:t>
      </w:r>
      <w:r w:rsidR="00B96230">
        <w:rPr>
          <w:iCs/>
        </w:rPr>
        <w:t>ing</w:t>
      </w:r>
      <w:r>
        <w:rPr>
          <w:iCs/>
        </w:rPr>
        <w:t xml:space="preserve"> RLFs, while ensuring UE performs HO well within the configured T1 and T2.</w:t>
      </w:r>
    </w:p>
    <w:p w14:paraId="0E8B7E61" w14:textId="40CFAD03" w:rsidR="000A4FF1" w:rsidRPr="00292DEC" w:rsidRDefault="0049765F" w:rsidP="00666705">
      <w:pPr>
        <w:jc w:val="both"/>
        <w:rPr>
          <w:b/>
          <w:bCs/>
          <w:lang w:val="en-US"/>
        </w:rPr>
      </w:pPr>
      <w:r w:rsidRPr="0084273B">
        <w:rPr>
          <w:b/>
          <w:bCs/>
          <w:lang w:val="en-US"/>
        </w:rPr>
        <w:t>Proposal</w:t>
      </w:r>
      <w:r>
        <w:rPr>
          <w:b/>
          <w:bCs/>
          <w:lang w:val="en-US"/>
        </w:rPr>
        <w:t xml:space="preserve"> </w:t>
      </w:r>
      <w:r w:rsidR="005113A0">
        <w:rPr>
          <w:b/>
          <w:bCs/>
          <w:lang w:val="en-US"/>
        </w:rPr>
        <w:t>7</w:t>
      </w:r>
      <w:r w:rsidRPr="0084273B">
        <w:rPr>
          <w:b/>
          <w:bCs/>
          <w:lang w:val="en-US"/>
        </w:rPr>
        <w:t>: RAN2 to discuss the solution approach outlined here to compensate the HO execution latency and to enhance the event A4 entering and leaving criteria.</w:t>
      </w:r>
    </w:p>
    <w:p w14:paraId="7B8F919C" w14:textId="2D99D01B" w:rsidR="000A4FF1" w:rsidRPr="00BC2F73" w:rsidRDefault="000A4FF1" w:rsidP="000A4FF1">
      <w:pPr>
        <w:pStyle w:val="Heading2"/>
      </w:pPr>
      <w:r w:rsidRPr="00BC2F73">
        <w:t>2.</w:t>
      </w:r>
      <w:r w:rsidR="0049765F">
        <w:t>6</w:t>
      </w:r>
      <w:r w:rsidRPr="00BC2F73">
        <w:t xml:space="preserve"> TN – NTN service continuity</w:t>
      </w:r>
      <w:r>
        <w:t xml:space="preserve"> </w:t>
      </w:r>
    </w:p>
    <w:p w14:paraId="2E525774" w14:textId="39C95CB8" w:rsidR="00BC2F73" w:rsidRPr="00BC2F73" w:rsidRDefault="00BC2F73" w:rsidP="00F263B8">
      <w:pPr>
        <w:jc w:val="both"/>
      </w:pPr>
      <w:r w:rsidRPr="00BC2F73">
        <w:t>In</w:t>
      </w:r>
      <w:r w:rsidR="00882079">
        <w:t xml:space="preserve"> [5]</w:t>
      </w:r>
      <w:r w:rsidRPr="00BC2F73">
        <w:t xml:space="preserve"> the following was concluded:</w:t>
      </w:r>
    </w:p>
    <w:p w14:paraId="787209F8" w14:textId="77777777" w:rsidR="00BC2F73" w:rsidRPr="00BC2F73" w:rsidRDefault="00BC2F73" w:rsidP="00BC2F73">
      <w:pPr>
        <w:pStyle w:val="ListParagraph"/>
        <w:numPr>
          <w:ilvl w:val="0"/>
          <w:numId w:val="20"/>
        </w:numPr>
        <w:spacing w:after="0" w:line="256" w:lineRule="auto"/>
        <w:contextualSpacing w:val="0"/>
        <w:rPr>
          <w:rFonts w:ascii="Arial" w:hAnsi="Arial" w:cs="Arial"/>
          <w:i/>
          <w:iCs/>
          <w:lang w:val="sv-SE"/>
        </w:rPr>
      </w:pPr>
      <w:r w:rsidRPr="00BC2F73">
        <w:rPr>
          <w:rFonts w:ascii="Arial" w:hAnsi="Arial" w:cs="Arial"/>
          <w:i/>
          <w:iCs/>
          <w:lang w:val="sv-SE"/>
        </w:rPr>
        <w:t xml:space="preserve">RAN2 </w:t>
      </w:r>
      <w:proofErr w:type="spellStart"/>
      <w:r w:rsidRPr="00BC2F73">
        <w:rPr>
          <w:rFonts w:ascii="Arial" w:hAnsi="Arial" w:cs="Arial"/>
          <w:i/>
          <w:iCs/>
          <w:lang w:val="sv-SE"/>
        </w:rPr>
        <w:t>continue</w:t>
      </w:r>
      <w:proofErr w:type="spellEnd"/>
      <w:r w:rsidRPr="00BC2F73">
        <w:rPr>
          <w:rFonts w:ascii="Arial" w:hAnsi="Arial" w:cs="Arial"/>
          <w:i/>
          <w:iCs/>
          <w:lang w:val="sv-SE"/>
        </w:rPr>
        <w:t xml:space="preserve"> </w:t>
      </w:r>
      <w:proofErr w:type="spellStart"/>
      <w:r w:rsidRPr="00BC2F73">
        <w:rPr>
          <w:rFonts w:ascii="Arial" w:hAnsi="Arial" w:cs="Arial"/>
          <w:i/>
          <w:iCs/>
          <w:lang w:val="sv-SE"/>
        </w:rPr>
        <w:t>discussion</w:t>
      </w:r>
      <w:proofErr w:type="spellEnd"/>
      <w:r w:rsidRPr="00BC2F73">
        <w:rPr>
          <w:rFonts w:ascii="Arial" w:hAnsi="Arial" w:cs="Arial"/>
          <w:i/>
          <w:iCs/>
          <w:lang w:val="sv-SE"/>
        </w:rPr>
        <w:t xml:space="preserve"> </w:t>
      </w:r>
      <w:proofErr w:type="spellStart"/>
      <w:r w:rsidRPr="00BC2F73">
        <w:rPr>
          <w:rFonts w:ascii="Arial" w:hAnsi="Arial" w:cs="Arial"/>
          <w:i/>
          <w:iCs/>
          <w:lang w:val="sv-SE"/>
        </w:rPr>
        <w:t>about</w:t>
      </w:r>
      <w:proofErr w:type="spellEnd"/>
      <w:r w:rsidRPr="00BC2F73">
        <w:rPr>
          <w:rFonts w:ascii="Arial" w:hAnsi="Arial" w:cs="Arial"/>
          <w:i/>
          <w:iCs/>
          <w:lang w:val="sv-SE"/>
        </w:rPr>
        <w:t xml:space="preserve"> Option 2 and 3. FFS </w:t>
      </w:r>
      <w:proofErr w:type="spellStart"/>
      <w:r w:rsidRPr="00BC2F73">
        <w:rPr>
          <w:rFonts w:ascii="Arial" w:hAnsi="Arial" w:cs="Arial"/>
          <w:i/>
          <w:iCs/>
          <w:lang w:val="sv-SE"/>
        </w:rPr>
        <w:t>details</w:t>
      </w:r>
      <w:proofErr w:type="spellEnd"/>
      <w:r w:rsidRPr="00BC2F73">
        <w:rPr>
          <w:rFonts w:ascii="Arial" w:hAnsi="Arial" w:cs="Arial"/>
          <w:i/>
          <w:iCs/>
          <w:lang w:val="sv-SE"/>
        </w:rPr>
        <w:t xml:space="preserve"> and </w:t>
      </w:r>
      <w:proofErr w:type="spellStart"/>
      <w:r w:rsidRPr="00BC2F73">
        <w:rPr>
          <w:rFonts w:ascii="Arial" w:hAnsi="Arial" w:cs="Arial"/>
          <w:i/>
          <w:iCs/>
          <w:lang w:val="sv-SE"/>
        </w:rPr>
        <w:t>whether</w:t>
      </w:r>
      <w:proofErr w:type="spellEnd"/>
      <w:r w:rsidRPr="00BC2F73">
        <w:rPr>
          <w:rFonts w:ascii="Arial" w:hAnsi="Arial" w:cs="Arial"/>
          <w:i/>
          <w:iCs/>
          <w:lang w:val="sv-SE"/>
        </w:rPr>
        <w:t xml:space="preserve"> </w:t>
      </w:r>
      <w:proofErr w:type="spellStart"/>
      <w:r w:rsidRPr="00BC2F73">
        <w:rPr>
          <w:rFonts w:ascii="Arial" w:hAnsi="Arial" w:cs="Arial"/>
          <w:i/>
          <w:iCs/>
          <w:lang w:val="sv-SE"/>
        </w:rPr>
        <w:t>one</w:t>
      </w:r>
      <w:proofErr w:type="spellEnd"/>
      <w:r w:rsidRPr="00BC2F73">
        <w:rPr>
          <w:rFonts w:ascii="Arial" w:hAnsi="Arial" w:cs="Arial"/>
          <w:i/>
          <w:iCs/>
          <w:lang w:val="sv-SE"/>
        </w:rPr>
        <w:t xml:space="preserve"> or </w:t>
      </w:r>
      <w:proofErr w:type="spellStart"/>
      <w:r w:rsidRPr="00BC2F73">
        <w:rPr>
          <w:rFonts w:ascii="Arial" w:hAnsi="Arial" w:cs="Arial"/>
          <w:i/>
          <w:iCs/>
          <w:lang w:val="sv-SE"/>
        </w:rPr>
        <w:t>both</w:t>
      </w:r>
      <w:proofErr w:type="spellEnd"/>
      <w:r w:rsidRPr="00BC2F73">
        <w:rPr>
          <w:rFonts w:ascii="Arial" w:hAnsi="Arial" w:cs="Arial"/>
          <w:i/>
          <w:iCs/>
          <w:lang w:val="sv-SE"/>
        </w:rPr>
        <w:t xml:space="preserve"> </w:t>
      </w:r>
      <w:proofErr w:type="spellStart"/>
      <w:r w:rsidRPr="00BC2F73">
        <w:rPr>
          <w:rFonts w:ascii="Arial" w:hAnsi="Arial" w:cs="Arial"/>
          <w:i/>
          <w:iCs/>
          <w:lang w:val="sv-SE"/>
        </w:rPr>
        <w:t>could</w:t>
      </w:r>
      <w:proofErr w:type="spellEnd"/>
      <w:r w:rsidRPr="00BC2F73">
        <w:rPr>
          <w:rFonts w:ascii="Arial" w:hAnsi="Arial" w:cs="Arial"/>
          <w:i/>
          <w:iCs/>
          <w:lang w:val="sv-SE"/>
        </w:rPr>
        <w:t xml:space="preserve"> be </w:t>
      </w:r>
      <w:proofErr w:type="spellStart"/>
      <w:r w:rsidRPr="00BC2F73">
        <w:rPr>
          <w:rFonts w:ascii="Arial" w:hAnsi="Arial" w:cs="Arial"/>
          <w:i/>
          <w:iCs/>
          <w:lang w:val="sv-SE"/>
        </w:rPr>
        <w:t>supported</w:t>
      </w:r>
      <w:proofErr w:type="spellEnd"/>
    </w:p>
    <w:p w14:paraId="49F579B6" w14:textId="77777777" w:rsidR="00BC2F73" w:rsidRPr="00BC2F73" w:rsidRDefault="00BC2F73" w:rsidP="00BC2F73">
      <w:pPr>
        <w:pStyle w:val="ListParagraph"/>
        <w:numPr>
          <w:ilvl w:val="0"/>
          <w:numId w:val="20"/>
        </w:numPr>
        <w:spacing w:after="0" w:line="256" w:lineRule="auto"/>
        <w:ind w:left="927"/>
        <w:contextualSpacing w:val="0"/>
        <w:rPr>
          <w:rFonts w:ascii="Arial" w:hAnsi="Arial" w:cs="Arial"/>
          <w:i/>
          <w:iCs/>
          <w:lang w:val="sv-SE"/>
        </w:rPr>
      </w:pPr>
      <w:r w:rsidRPr="00BC2F73">
        <w:rPr>
          <w:rFonts w:ascii="Arial" w:hAnsi="Arial" w:cs="Arial"/>
          <w:i/>
          <w:iCs/>
          <w:lang w:val="sv-SE"/>
        </w:rPr>
        <w:t xml:space="preserve">Option 2 </w:t>
      </w:r>
      <w:proofErr w:type="spellStart"/>
      <w:r w:rsidRPr="00BC2F73">
        <w:rPr>
          <w:rFonts w:ascii="Arial" w:hAnsi="Arial" w:cs="Arial"/>
          <w:i/>
          <w:iCs/>
          <w:lang w:val="sv-SE"/>
        </w:rPr>
        <w:t>Indicate</w:t>
      </w:r>
      <w:proofErr w:type="spellEnd"/>
      <w:r w:rsidRPr="00BC2F73">
        <w:rPr>
          <w:rFonts w:ascii="Arial" w:hAnsi="Arial" w:cs="Arial"/>
          <w:i/>
          <w:iCs/>
          <w:lang w:val="sv-SE"/>
        </w:rPr>
        <w:t xml:space="preserve"> in system information of TN or NTN cell or </w:t>
      </w:r>
      <w:proofErr w:type="spellStart"/>
      <w:r w:rsidRPr="00BC2F73">
        <w:rPr>
          <w:rFonts w:ascii="Arial" w:hAnsi="Arial" w:cs="Arial"/>
          <w:i/>
          <w:iCs/>
          <w:lang w:val="sv-SE"/>
        </w:rPr>
        <w:t>both</w:t>
      </w:r>
      <w:proofErr w:type="spellEnd"/>
      <w:r w:rsidRPr="00BC2F73">
        <w:rPr>
          <w:rFonts w:ascii="Arial" w:hAnsi="Arial" w:cs="Arial"/>
          <w:i/>
          <w:iCs/>
          <w:lang w:val="sv-SE"/>
        </w:rPr>
        <w:t xml:space="preserve">, the </w:t>
      </w:r>
      <w:proofErr w:type="spellStart"/>
      <w:r w:rsidRPr="00BC2F73">
        <w:rPr>
          <w:rFonts w:ascii="Arial" w:hAnsi="Arial" w:cs="Arial"/>
          <w:i/>
          <w:iCs/>
          <w:lang w:val="sv-SE"/>
        </w:rPr>
        <w:t>need</w:t>
      </w:r>
      <w:proofErr w:type="spellEnd"/>
      <w:r w:rsidRPr="00BC2F73">
        <w:rPr>
          <w:rFonts w:ascii="Arial" w:hAnsi="Arial" w:cs="Arial"/>
          <w:i/>
          <w:iCs/>
          <w:lang w:val="sv-SE"/>
        </w:rPr>
        <w:t xml:space="preserve"> to </w:t>
      </w:r>
      <w:proofErr w:type="spellStart"/>
      <w:r w:rsidRPr="00BC2F73">
        <w:rPr>
          <w:rFonts w:ascii="Arial" w:hAnsi="Arial" w:cs="Arial"/>
          <w:i/>
          <w:iCs/>
          <w:lang w:val="sv-SE"/>
        </w:rPr>
        <w:t>prioritize</w:t>
      </w:r>
      <w:proofErr w:type="spellEnd"/>
      <w:r w:rsidRPr="00BC2F73">
        <w:rPr>
          <w:rFonts w:ascii="Arial" w:hAnsi="Arial" w:cs="Arial"/>
          <w:i/>
          <w:iCs/>
          <w:lang w:val="sv-SE"/>
        </w:rPr>
        <w:t xml:space="preserve"> TN in the area the NTN/TN cells </w:t>
      </w:r>
      <w:proofErr w:type="spellStart"/>
      <w:r w:rsidRPr="00BC2F73">
        <w:rPr>
          <w:rFonts w:ascii="Arial" w:hAnsi="Arial" w:cs="Arial"/>
          <w:i/>
          <w:iCs/>
          <w:lang w:val="sv-SE"/>
        </w:rPr>
        <w:t>are</w:t>
      </w:r>
      <w:proofErr w:type="spellEnd"/>
      <w:r w:rsidRPr="00BC2F73">
        <w:rPr>
          <w:rFonts w:ascii="Arial" w:hAnsi="Arial" w:cs="Arial"/>
          <w:i/>
          <w:iCs/>
          <w:lang w:val="sv-SE"/>
        </w:rPr>
        <w:t xml:space="preserve"> </w:t>
      </w:r>
      <w:proofErr w:type="spellStart"/>
      <w:r w:rsidRPr="00BC2F73">
        <w:rPr>
          <w:rFonts w:ascii="Arial" w:hAnsi="Arial" w:cs="Arial"/>
          <w:i/>
          <w:iCs/>
          <w:lang w:val="sv-SE"/>
        </w:rPr>
        <w:t>covering</w:t>
      </w:r>
      <w:proofErr w:type="spellEnd"/>
      <w:r w:rsidRPr="00BC2F73">
        <w:rPr>
          <w:rFonts w:ascii="Arial" w:hAnsi="Arial" w:cs="Arial"/>
          <w:i/>
          <w:iCs/>
          <w:lang w:val="sv-SE"/>
        </w:rPr>
        <w:t xml:space="preserve">. FFS, </w:t>
      </w:r>
      <w:proofErr w:type="spellStart"/>
      <w:r w:rsidRPr="00BC2F73">
        <w:rPr>
          <w:rFonts w:ascii="Arial" w:hAnsi="Arial" w:cs="Arial"/>
          <w:i/>
          <w:iCs/>
          <w:lang w:val="sv-SE"/>
        </w:rPr>
        <w:t>if</w:t>
      </w:r>
      <w:proofErr w:type="spellEnd"/>
      <w:r w:rsidRPr="00BC2F73">
        <w:rPr>
          <w:rFonts w:ascii="Arial" w:hAnsi="Arial" w:cs="Arial"/>
          <w:i/>
          <w:iCs/>
          <w:lang w:val="sv-SE"/>
        </w:rPr>
        <w:t xml:space="preserve"> </w:t>
      </w:r>
      <w:proofErr w:type="spellStart"/>
      <w:r w:rsidRPr="00BC2F73">
        <w:rPr>
          <w:rFonts w:ascii="Arial" w:hAnsi="Arial" w:cs="Arial"/>
          <w:i/>
          <w:iCs/>
          <w:lang w:val="sv-SE"/>
        </w:rPr>
        <w:t>prioritizing</w:t>
      </w:r>
      <w:proofErr w:type="spellEnd"/>
      <w:r w:rsidRPr="00BC2F73">
        <w:rPr>
          <w:rFonts w:ascii="Arial" w:hAnsi="Arial" w:cs="Arial"/>
          <w:i/>
          <w:iCs/>
          <w:lang w:val="sv-SE"/>
        </w:rPr>
        <w:t xml:space="preserve"> </w:t>
      </w:r>
      <w:proofErr w:type="spellStart"/>
      <w:r w:rsidRPr="00BC2F73">
        <w:rPr>
          <w:rFonts w:ascii="Arial" w:hAnsi="Arial" w:cs="Arial"/>
          <w:i/>
          <w:iCs/>
          <w:lang w:val="sv-SE"/>
        </w:rPr>
        <w:t>happens</w:t>
      </w:r>
      <w:proofErr w:type="spellEnd"/>
      <w:r w:rsidRPr="00BC2F73">
        <w:rPr>
          <w:rFonts w:ascii="Arial" w:hAnsi="Arial" w:cs="Arial"/>
          <w:i/>
          <w:iCs/>
          <w:lang w:val="sv-SE"/>
        </w:rPr>
        <w:t xml:space="preserve"> in </w:t>
      </w:r>
      <w:proofErr w:type="spellStart"/>
      <w:r w:rsidRPr="00BC2F73">
        <w:rPr>
          <w:rFonts w:ascii="Arial" w:hAnsi="Arial" w:cs="Arial"/>
          <w:i/>
          <w:iCs/>
          <w:lang w:val="sv-SE"/>
        </w:rPr>
        <w:t>measurement</w:t>
      </w:r>
      <w:proofErr w:type="spellEnd"/>
      <w:r w:rsidRPr="00BC2F73">
        <w:rPr>
          <w:rFonts w:ascii="Arial" w:hAnsi="Arial" w:cs="Arial"/>
          <w:i/>
          <w:iCs/>
          <w:lang w:val="sv-SE"/>
        </w:rPr>
        <w:t xml:space="preserve"> </w:t>
      </w:r>
      <w:proofErr w:type="spellStart"/>
      <w:r w:rsidRPr="00BC2F73">
        <w:rPr>
          <w:rFonts w:ascii="Arial" w:hAnsi="Arial" w:cs="Arial"/>
          <w:i/>
          <w:iCs/>
          <w:lang w:val="sv-SE"/>
        </w:rPr>
        <w:t>stage</w:t>
      </w:r>
      <w:proofErr w:type="spellEnd"/>
      <w:r w:rsidRPr="00BC2F73">
        <w:rPr>
          <w:rFonts w:ascii="Arial" w:hAnsi="Arial" w:cs="Arial"/>
          <w:i/>
          <w:iCs/>
          <w:lang w:val="sv-SE"/>
        </w:rPr>
        <w:t xml:space="preserve">, cell ranking, or prior to </w:t>
      </w:r>
      <w:proofErr w:type="spellStart"/>
      <w:r w:rsidRPr="00BC2F73">
        <w:rPr>
          <w:rFonts w:ascii="Arial" w:hAnsi="Arial" w:cs="Arial"/>
          <w:i/>
          <w:iCs/>
          <w:lang w:val="sv-SE"/>
        </w:rPr>
        <w:t>selecting</w:t>
      </w:r>
      <w:proofErr w:type="spellEnd"/>
      <w:r w:rsidRPr="00BC2F73">
        <w:rPr>
          <w:rFonts w:ascii="Arial" w:hAnsi="Arial" w:cs="Arial"/>
          <w:i/>
          <w:iCs/>
          <w:lang w:val="sv-SE"/>
        </w:rPr>
        <w:t xml:space="preserve"> the </w:t>
      </w:r>
      <w:proofErr w:type="spellStart"/>
      <w:r w:rsidRPr="00BC2F73">
        <w:rPr>
          <w:rFonts w:ascii="Arial" w:hAnsi="Arial" w:cs="Arial"/>
          <w:i/>
          <w:iCs/>
          <w:lang w:val="sv-SE"/>
        </w:rPr>
        <w:t>suitable</w:t>
      </w:r>
      <w:proofErr w:type="spellEnd"/>
      <w:r w:rsidRPr="00BC2F73">
        <w:rPr>
          <w:rFonts w:ascii="Arial" w:hAnsi="Arial" w:cs="Arial"/>
          <w:i/>
          <w:iCs/>
          <w:lang w:val="sv-SE"/>
        </w:rPr>
        <w:t xml:space="preserve"> cell.</w:t>
      </w:r>
    </w:p>
    <w:p w14:paraId="694B1674" w14:textId="77777777" w:rsidR="00BC2F73" w:rsidRPr="00BC2F73" w:rsidRDefault="00BC2F73" w:rsidP="00BC2F73">
      <w:pPr>
        <w:pStyle w:val="ListParagraph"/>
        <w:ind w:left="927"/>
        <w:rPr>
          <w:rFonts w:ascii="Arial" w:hAnsi="Arial" w:cs="Arial"/>
          <w:i/>
          <w:iCs/>
          <w:lang w:val="sv-SE"/>
        </w:rPr>
      </w:pPr>
    </w:p>
    <w:p w14:paraId="00A94A18" w14:textId="77777777" w:rsidR="00BC2F73" w:rsidRPr="00BC2F73" w:rsidRDefault="00BC2F73" w:rsidP="00BC2F73">
      <w:pPr>
        <w:pStyle w:val="ListParagraph"/>
        <w:numPr>
          <w:ilvl w:val="0"/>
          <w:numId w:val="20"/>
        </w:numPr>
        <w:spacing w:after="0" w:line="256" w:lineRule="auto"/>
        <w:ind w:left="927"/>
        <w:contextualSpacing w:val="0"/>
        <w:rPr>
          <w:rFonts w:ascii="Arial" w:hAnsi="Arial" w:cs="Arial"/>
          <w:i/>
          <w:iCs/>
          <w:lang w:val="sv-SE"/>
        </w:rPr>
      </w:pPr>
      <w:r w:rsidRPr="00BC2F73">
        <w:rPr>
          <w:rFonts w:ascii="Arial" w:hAnsi="Arial" w:cs="Arial"/>
          <w:i/>
          <w:iCs/>
          <w:lang w:val="sv-SE"/>
        </w:rPr>
        <w:t xml:space="preserve">Option 3 Broadcast in system </w:t>
      </w:r>
      <w:proofErr w:type="spellStart"/>
      <w:r w:rsidRPr="00BC2F73">
        <w:rPr>
          <w:rFonts w:ascii="Arial" w:hAnsi="Arial" w:cs="Arial"/>
          <w:i/>
          <w:iCs/>
          <w:lang w:val="sv-SE"/>
        </w:rPr>
        <w:t>informtion</w:t>
      </w:r>
      <w:proofErr w:type="spellEnd"/>
      <w:r w:rsidRPr="00BC2F73">
        <w:rPr>
          <w:rFonts w:ascii="Arial" w:hAnsi="Arial" w:cs="Arial"/>
          <w:i/>
          <w:iCs/>
          <w:lang w:val="sv-SE"/>
        </w:rPr>
        <w:t xml:space="preserve"> a TN or NTN </w:t>
      </w:r>
      <w:proofErr w:type="spellStart"/>
      <w:r w:rsidRPr="00BC2F73">
        <w:rPr>
          <w:rFonts w:ascii="Arial" w:hAnsi="Arial" w:cs="Arial"/>
          <w:i/>
          <w:iCs/>
          <w:lang w:val="sv-SE"/>
        </w:rPr>
        <w:t>specific</w:t>
      </w:r>
      <w:proofErr w:type="spellEnd"/>
      <w:r w:rsidRPr="00BC2F73">
        <w:rPr>
          <w:rFonts w:ascii="Arial" w:hAnsi="Arial" w:cs="Arial"/>
          <w:i/>
          <w:iCs/>
          <w:lang w:val="sv-SE"/>
        </w:rPr>
        <w:t xml:space="preserve"> offset to be </w:t>
      </w:r>
      <w:proofErr w:type="spellStart"/>
      <w:r w:rsidRPr="00BC2F73">
        <w:rPr>
          <w:rFonts w:ascii="Arial" w:hAnsi="Arial" w:cs="Arial"/>
          <w:i/>
          <w:iCs/>
          <w:lang w:val="sv-SE"/>
        </w:rPr>
        <w:t>applied</w:t>
      </w:r>
      <w:proofErr w:type="spellEnd"/>
      <w:r w:rsidRPr="00BC2F73">
        <w:rPr>
          <w:rFonts w:ascii="Arial" w:hAnsi="Arial" w:cs="Arial"/>
          <w:i/>
          <w:iCs/>
          <w:lang w:val="sv-SE"/>
        </w:rPr>
        <w:t xml:space="preserve"> to RSRP </w:t>
      </w:r>
      <w:proofErr w:type="spellStart"/>
      <w:r w:rsidRPr="00BC2F73">
        <w:rPr>
          <w:rFonts w:ascii="Arial" w:hAnsi="Arial" w:cs="Arial"/>
          <w:i/>
          <w:iCs/>
          <w:lang w:val="sv-SE"/>
        </w:rPr>
        <w:t>measurement</w:t>
      </w:r>
      <w:proofErr w:type="spellEnd"/>
      <w:r w:rsidRPr="00BC2F73">
        <w:rPr>
          <w:rFonts w:ascii="Arial" w:hAnsi="Arial" w:cs="Arial"/>
          <w:i/>
          <w:iCs/>
          <w:lang w:val="sv-SE"/>
        </w:rPr>
        <w:t xml:space="preserve"> </w:t>
      </w:r>
      <w:proofErr w:type="spellStart"/>
      <w:r w:rsidRPr="00BC2F73">
        <w:rPr>
          <w:rFonts w:ascii="Arial" w:hAnsi="Arial" w:cs="Arial"/>
          <w:i/>
          <w:iCs/>
          <w:lang w:val="sv-SE"/>
        </w:rPr>
        <w:t>result</w:t>
      </w:r>
      <w:proofErr w:type="spellEnd"/>
      <w:r w:rsidRPr="00BC2F73">
        <w:rPr>
          <w:rFonts w:ascii="Arial" w:hAnsi="Arial" w:cs="Arial"/>
          <w:i/>
          <w:iCs/>
          <w:lang w:val="sv-SE"/>
        </w:rPr>
        <w:t xml:space="preserve"> for cell </w:t>
      </w:r>
      <w:proofErr w:type="spellStart"/>
      <w:r w:rsidRPr="00BC2F73">
        <w:rPr>
          <w:rFonts w:ascii="Arial" w:hAnsi="Arial" w:cs="Arial"/>
          <w:i/>
          <w:iCs/>
          <w:lang w:val="sv-SE"/>
        </w:rPr>
        <w:t>quality</w:t>
      </w:r>
      <w:proofErr w:type="spellEnd"/>
      <w:r w:rsidRPr="00BC2F73">
        <w:rPr>
          <w:rFonts w:ascii="Arial" w:hAnsi="Arial" w:cs="Arial"/>
          <w:i/>
          <w:iCs/>
          <w:lang w:val="sv-SE"/>
        </w:rPr>
        <w:t xml:space="preserve">. </w:t>
      </w:r>
    </w:p>
    <w:p w14:paraId="228986F6" w14:textId="77777777" w:rsidR="00BC2F73" w:rsidRPr="00BC2F73" w:rsidRDefault="00BC2F73" w:rsidP="00F263B8">
      <w:pPr>
        <w:jc w:val="both"/>
        <w:rPr>
          <w:highlight w:val="yellow"/>
          <w:lang w:val="sv-SE"/>
        </w:rPr>
      </w:pPr>
    </w:p>
    <w:p w14:paraId="3BC09EFD" w14:textId="12ECF1B6" w:rsidR="00CF3163" w:rsidRPr="003B6EC1" w:rsidRDefault="00BC2F73" w:rsidP="00F263B8">
      <w:pPr>
        <w:jc w:val="both"/>
      </w:pPr>
      <w:r w:rsidRPr="003B6EC1">
        <w:t xml:space="preserve">It is our understanding that </w:t>
      </w:r>
      <w:r w:rsidR="003B6EC1" w:rsidRPr="003B6EC1">
        <w:t>TN and NTN will operate in separate carriers/bands and as</w:t>
      </w:r>
      <w:r w:rsidR="000B7FEE" w:rsidRPr="003B6EC1">
        <w:t xml:space="preserve"> we have already expressed in the past using the existing set of priorities for IDLE mode</w:t>
      </w:r>
      <w:r w:rsidR="003B6EC1" w:rsidRPr="003B6EC1">
        <w:t xml:space="preserve"> can ensure prioritization of either system</w:t>
      </w:r>
      <w:r w:rsidR="000B7FEE" w:rsidRPr="003B6EC1">
        <w:t xml:space="preserve">. </w:t>
      </w:r>
    </w:p>
    <w:p w14:paraId="07521DE5" w14:textId="7CF6DFCC" w:rsidR="000B7FEE" w:rsidRPr="003B6EC1" w:rsidRDefault="000B7FEE" w:rsidP="00F263B8">
      <w:pPr>
        <w:jc w:val="both"/>
        <w:rPr>
          <w:b/>
          <w:bCs/>
        </w:rPr>
      </w:pPr>
      <w:r w:rsidRPr="003B6EC1">
        <w:rPr>
          <w:b/>
          <w:bCs/>
        </w:rPr>
        <w:t xml:space="preserve">Proposal </w:t>
      </w:r>
      <w:r w:rsidR="001D0E0F">
        <w:rPr>
          <w:b/>
          <w:bCs/>
        </w:rPr>
        <w:t>8</w:t>
      </w:r>
      <w:r w:rsidRPr="003B6EC1">
        <w:rPr>
          <w:b/>
          <w:bCs/>
        </w:rPr>
        <w:t xml:space="preserve">: </w:t>
      </w:r>
      <w:r w:rsidR="0012648B" w:rsidRPr="003B6EC1">
        <w:rPr>
          <w:b/>
          <w:bCs/>
        </w:rPr>
        <w:t xml:space="preserve">In </w:t>
      </w:r>
      <w:r w:rsidR="00020450" w:rsidRPr="003B6EC1">
        <w:rPr>
          <w:b/>
          <w:bCs/>
        </w:rPr>
        <w:t>R</w:t>
      </w:r>
      <w:r w:rsidR="0012648B" w:rsidRPr="003B6EC1">
        <w:rPr>
          <w:b/>
          <w:bCs/>
        </w:rPr>
        <w:t>elease 17, t</w:t>
      </w:r>
      <w:r w:rsidRPr="003B6EC1">
        <w:rPr>
          <w:b/>
          <w:bCs/>
        </w:rPr>
        <w:t xml:space="preserve">he legacy priorities for IDLE mode </w:t>
      </w:r>
      <w:r w:rsidR="002F0F87" w:rsidRPr="003B6EC1">
        <w:rPr>
          <w:b/>
          <w:bCs/>
        </w:rPr>
        <w:t>are sufficient for</w:t>
      </w:r>
      <w:r w:rsidRPr="003B6EC1">
        <w:rPr>
          <w:b/>
          <w:bCs/>
        </w:rPr>
        <w:t xml:space="preserve"> cell reselections between TN and NTN.</w:t>
      </w:r>
    </w:p>
    <w:p w14:paraId="038EA194" w14:textId="444A85B7" w:rsidR="00003FB2" w:rsidRDefault="00003FB2" w:rsidP="00F263B8">
      <w:pPr>
        <w:jc w:val="both"/>
      </w:pPr>
      <w:r>
        <w:lastRenderedPageBreak/>
        <w:t>Also, with respect to this area, the following has been proposed by one of the companies [5]:</w:t>
      </w:r>
    </w:p>
    <w:p w14:paraId="1744B204" w14:textId="3A65A687" w:rsidR="00003FB2" w:rsidRPr="00BC3949" w:rsidRDefault="008C321D" w:rsidP="00F263B8">
      <w:pPr>
        <w:jc w:val="both"/>
        <w:rPr>
          <w:i/>
          <w:iCs/>
        </w:rPr>
      </w:pPr>
      <w:r w:rsidRPr="00BC3949">
        <w:rPr>
          <w:i/>
          <w:iCs/>
        </w:rPr>
        <w:t>Neighbouring RAT/frequencies/cell from a certain region will be broadcasted in one group, hence a UE has detected neighbours in one group does not need to search neighbours indicated by another group</w:t>
      </w:r>
    </w:p>
    <w:p w14:paraId="52BAA07A" w14:textId="78DBFE5F" w:rsidR="00003FB2" w:rsidRDefault="008B191D" w:rsidP="00F263B8">
      <w:pPr>
        <w:jc w:val="both"/>
      </w:pPr>
      <w:r>
        <w:t xml:space="preserve">However, this scenario can be also addressed with the frequency carrier separation and </w:t>
      </w:r>
      <w:r w:rsidR="006F3CB2">
        <w:t>what is suggested in P6.</w:t>
      </w:r>
    </w:p>
    <w:p w14:paraId="79143D77" w14:textId="5135446B" w:rsidR="000B7FEE" w:rsidRPr="003B6EC1" w:rsidRDefault="002F0F87" w:rsidP="00F263B8">
      <w:pPr>
        <w:jc w:val="both"/>
      </w:pPr>
      <w:r w:rsidRPr="003B6EC1">
        <w:t>Regarding</w:t>
      </w:r>
      <w:r w:rsidR="00AB6A10" w:rsidRPr="003B6EC1">
        <w:t xml:space="preserve"> TN-NTN for RRC_CONNECTED, it is simple to decide the same triggers as for intra-NTN can be used. However, it is somewhat weird </w:t>
      </w:r>
      <w:r w:rsidR="007B01AA" w:rsidRPr="003B6EC1">
        <w:t xml:space="preserve">or even not feasible </w:t>
      </w:r>
      <w:r w:rsidR="00AB6A10" w:rsidRPr="003B6EC1">
        <w:t>that the UE will have to monitor the reference location of the target cell, when it wants to handover from NTN to TN cell</w:t>
      </w:r>
      <w:r w:rsidR="002A4FAA" w:rsidRPr="003B6EC1">
        <w:t xml:space="preserve"> (i.e. would there be any reference location for the TN cell?)</w:t>
      </w:r>
      <w:r w:rsidR="00AB6A10" w:rsidRPr="003B6EC1">
        <w:t xml:space="preserve">. Thus, not all combinations are necessarily needed. </w:t>
      </w:r>
    </w:p>
    <w:p w14:paraId="6F18B668" w14:textId="25F496F6" w:rsidR="00AB6A10" w:rsidRPr="003B6EC1" w:rsidRDefault="00AB6A10" w:rsidP="00F263B8">
      <w:pPr>
        <w:jc w:val="both"/>
        <w:rPr>
          <w:b/>
          <w:bCs/>
        </w:rPr>
      </w:pPr>
      <w:r w:rsidRPr="003B6EC1">
        <w:rPr>
          <w:b/>
          <w:bCs/>
        </w:rPr>
        <w:t xml:space="preserve">Observation </w:t>
      </w:r>
      <w:r w:rsidR="001D0E0F">
        <w:rPr>
          <w:b/>
          <w:bCs/>
        </w:rPr>
        <w:t>6</w:t>
      </w:r>
      <w:r w:rsidRPr="003B6EC1">
        <w:rPr>
          <w:b/>
          <w:bCs/>
        </w:rPr>
        <w:t xml:space="preserve">: Not all CHO mechanisms defined for intra-NTN mobility are needed for TN-&gt;NTN or NTN-&gt;TN mobility. </w:t>
      </w:r>
    </w:p>
    <w:p w14:paraId="2C12AFEF" w14:textId="6A5FAB41" w:rsidR="00AB6A10" w:rsidRPr="003B6EC1" w:rsidRDefault="00B0173F" w:rsidP="00F263B8">
      <w:pPr>
        <w:jc w:val="both"/>
      </w:pPr>
      <w:r w:rsidRPr="003B6EC1">
        <w:t xml:space="preserve">However, if the </w:t>
      </w:r>
      <w:r w:rsidR="006B7922" w:rsidRPr="003B6EC1">
        <w:t xml:space="preserve">motivation of this </w:t>
      </w:r>
      <w:r w:rsidRPr="003B6EC1">
        <w:t xml:space="preserve">decision </w:t>
      </w:r>
      <w:r w:rsidR="006B7922" w:rsidRPr="003B6EC1">
        <w:t>wa</w:t>
      </w:r>
      <w:r w:rsidRPr="003B6EC1">
        <w:t xml:space="preserve">s to ensure the full flexibility, while the actual use will depend on individual </w:t>
      </w:r>
      <w:r w:rsidR="006B7922" w:rsidRPr="003B6EC1">
        <w:t>network configuration th</w:t>
      </w:r>
      <w:r w:rsidR="00163B78" w:rsidRPr="003B6EC1">
        <w:t xml:space="preserve">en it is acceptable. </w:t>
      </w:r>
      <w:r w:rsidR="000D0E2E" w:rsidRPr="003B6EC1">
        <w:t xml:space="preserve">This shall be still </w:t>
      </w:r>
      <w:r w:rsidR="00EE7C96" w:rsidRPr="003B6EC1">
        <w:t xml:space="preserve">discussed and </w:t>
      </w:r>
      <w:r w:rsidR="000D0E2E" w:rsidRPr="003B6EC1">
        <w:t>confirmed</w:t>
      </w:r>
      <w:r w:rsidR="00EE7C96" w:rsidRPr="003B6EC1">
        <w:t xml:space="preserve"> in RAN2 what is the exact background</w:t>
      </w:r>
      <w:r w:rsidR="00460B6D" w:rsidRPr="003B6EC1">
        <w:t xml:space="preserve"> and use case for</w:t>
      </w:r>
      <w:r w:rsidR="00C415FC" w:rsidRPr="003B6EC1">
        <w:t xml:space="preserve"> some of the cases highlighted above.</w:t>
      </w:r>
      <w:r w:rsidR="000D0E2E" w:rsidRPr="003B6EC1">
        <w:t xml:space="preserve"> </w:t>
      </w:r>
    </w:p>
    <w:p w14:paraId="72BE7111" w14:textId="33502CF7" w:rsidR="00F86AB7" w:rsidRPr="003B6EC1" w:rsidRDefault="00F86AB7" w:rsidP="00F263B8">
      <w:pPr>
        <w:jc w:val="both"/>
        <w:rPr>
          <w:b/>
          <w:bCs/>
        </w:rPr>
      </w:pPr>
      <w:r w:rsidRPr="003B6EC1">
        <w:rPr>
          <w:b/>
          <w:bCs/>
        </w:rPr>
        <w:t>Proposal</w:t>
      </w:r>
      <w:r w:rsidR="00DC76A7" w:rsidRPr="003B6EC1">
        <w:rPr>
          <w:b/>
          <w:bCs/>
        </w:rPr>
        <w:t xml:space="preserve"> </w:t>
      </w:r>
      <w:r w:rsidR="001D0E0F">
        <w:rPr>
          <w:b/>
          <w:bCs/>
        </w:rPr>
        <w:t>9</w:t>
      </w:r>
      <w:r w:rsidR="00DC76A7" w:rsidRPr="003B6EC1">
        <w:rPr>
          <w:b/>
          <w:bCs/>
        </w:rPr>
        <w:t xml:space="preserve">: </w:t>
      </w:r>
      <w:r w:rsidR="00231938" w:rsidRPr="003B6EC1">
        <w:rPr>
          <w:b/>
          <w:bCs/>
        </w:rPr>
        <w:t xml:space="preserve">The exact applicability of </w:t>
      </w:r>
      <w:r w:rsidR="00DE5E3F" w:rsidRPr="003B6EC1">
        <w:rPr>
          <w:b/>
          <w:bCs/>
        </w:rPr>
        <w:t>CHO mechanisms to TN</w:t>
      </w:r>
      <w:r w:rsidR="006C170C" w:rsidRPr="003B6EC1">
        <w:rPr>
          <w:b/>
          <w:bCs/>
        </w:rPr>
        <w:t xml:space="preserve"> </w:t>
      </w:r>
      <w:r w:rsidR="00DE5E3F" w:rsidRPr="003B6EC1">
        <w:rPr>
          <w:b/>
          <w:bCs/>
        </w:rPr>
        <w:t>&lt;-&gt;</w:t>
      </w:r>
      <w:r w:rsidR="006C170C" w:rsidRPr="003B6EC1">
        <w:rPr>
          <w:b/>
          <w:bCs/>
        </w:rPr>
        <w:t xml:space="preserve"> </w:t>
      </w:r>
      <w:r w:rsidR="00DE5E3F" w:rsidRPr="003B6EC1">
        <w:rPr>
          <w:b/>
          <w:bCs/>
        </w:rPr>
        <w:t>NTN individual use cases shall be assessed by RAN2.</w:t>
      </w:r>
    </w:p>
    <w:p w14:paraId="5FF2457F" w14:textId="6D703788" w:rsidR="00A209D6" w:rsidRPr="00666705" w:rsidRDefault="00C219A0" w:rsidP="00F263B8">
      <w:pPr>
        <w:pStyle w:val="Heading1"/>
        <w:jc w:val="both"/>
      </w:pPr>
      <w:r w:rsidRPr="00666705">
        <w:t>3</w:t>
      </w:r>
      <w:r w:rsidR="00A209D6" w:rsidRPr="00666705">
        <w:tab/>
      </w:r>
      <w:r w:rsidR="008C3057" w:rsidRPr="00666705">
        <w:t>Conclusion</w:t>
      </w:r>
    </w:p>
    <w:p w14:paraId="7B7240A4" w14:textId="3C07E2E5" w:rsidR="004F73A7" w:rsidRPr="00666705" w:rsidRDefault="00C219A0" w:rsidP="00F263B8">
      <w:pPr>
        <w:jc w:val="both"/>
      </w:pPr>
      <w:r w:rsidRPr="00666705">
        <w:t xml:space="preserve">This paper considered connected </w:t>
      </w:r>
      <w:r w:rsidR="000349F2" w:rsidRPr="00666705">
        <w:t xml:space="preserve">and idle </w:t>
      </w:r>
      <w:r w:rsidRPr="00666705">
        <w:t>mode mobility for NTN Rel-17. The following observations and proposals have been</w:t>
      </w:r>
      <w:r w:rsidR="004F73A7" w:rsidRPr="00666705">
        <w:t xml:space="preserve"> made</w:t>
      </w:r>
      <w:r w:rsidR="004F4540" w:rsidRPr="00666705">
        <w:t>:</w:t>
      </w:r>
    </w:p>
    <w:p w14:paraId="2BDE14B9" w14:textId="59F3146D" w:rsidR="000349F2" w:rsidRDefault="00666705" w:rsidP="00F263B8">
      <w:pPr>
        <w:jc w:val="both"/>
        <w:rPr>
          <w:b/>
          <w:bCs/>
        </w:rPr>
      </w:pPr>
      <w:r w:rsidRPr="00A87E12">
        <w:rPr>
          <w:b/>
          <w:bCs/>
        </w:rPr>
        <w:t xml:space="preserve">Observation 1: EFC handovers and feeder link </w:t>
      </w:r>
      <w:r>
        <w:rPr>
          <w:b/>
          <w:bCs/>
        </w:rPr>
        <w:t>switching</w:t>
      </w:r>
      <w:r w:rsidRPr="00A87E12">
        <w:rPr>
          <w:b/>
          <w:bCs/>
        </w:rPr>
        <w:t xml:space="preserve"> have two cases with very similar characteristics.</w:t>
      </w:r>
    </w:p>
    <w:p w14:paraId="7DCB7E35" w14:textId="77777777" w:rsidR="00666705" w:rsidRPr="00FF140F" w:rsidRDefault="00666705" w:rsidP="00666705">
      <w:pPr>
        <w:spacing w:before="240"/>
        <w:jc w:val="both"/>
        <w:rPr>
          <w:b/>
        </w:rPr>
      </w:pPr>
      <w:r>
        <w:rPr>
          <w:b/>
          <w:bCs/>
        </w:rPr>
        <w:t>Proposal</w:t>
      </w:r>
      <w:r w:rsidRPr="00A87E12">
        <w:rPr>
          <w:b/>
          <w:bCs/>
        </w:rPr>
        <w:t xml:space="preserve"> 1: </w:t>
      </w:r>
      <w:r>
        <w:rPr>
          <w:b/>
          <w:bCs/>
        </w:rPr>
        <w:t>RAN2 to discuss whether the time and potentially elevation and azimuth angles of the new cell is available should be provided to the UEs or whether T1 in the conditional CHO configuration can be interpreted such and thus can be used to avoid an RLF</w:t>
      </w:r>
      <w:r w:rsidRPr="00A87E12">
        <w:rPr>
          <w:b/>
          <w:bCs/>
        </w:rPr>
        <w:t>.</w:t>
      </w:r>
    </w:p>
    <w:p w14:paraId="0E466C88" w14:textId="77777777" w:rsidR="00666705" w:rsidRPr="005345C0" w:rsidRDefault="00666705" w:rsidP="00666705">
      <w:pPr>
        <w:rPr>
          <w:b/>
          <w:bCs/>
        </w:rPr>
      </w:pPr>
      <w:r w:rsidRPr="005345C0">
        <w:rPr>
          <w:b/>
          <w:bCs/>
        </w:rPr>
        <w:t xml:space="preserve">Observation </w:t>
      </w:r>
      <w:r w:rsidRPr="005345C0">
        <w:rPr>
          <w:b/>
        </w:rPr>
        <w:t>2</w:t>
      </w:r>
      <w:r w:rsidRPr="005345C0">
        <w:rPr>
          <w:b/>
          <w:bCs/>
        </w:rPr>
        <w:t xml:space="preserve">: UEs distribution in time during CHO can be related to the motion direction with respect to the satellite’s movement. </w:t>
      </w:r>
    </w:p>
    <w:p w14:paraId="291A5548" w14:textId="77777777" w:rsidR="00666705" w:rsidRPr="00666705" w:rsidRDefault="00666705" w:rsidP="00666705">
      <w:pPr>
        <w:rPr>
          <w:b/>
          <w:bCs/>
        </w:rPr>
      </w:pPr>
      <w:r w:rsidRPr="00666705">
        <w:rPr>
          <w:b/>
          <w:bCs/>
        </w:rPr>
        <w:t xml:space="preserve">Proposal 2: RAN2 is asked to consider how to distribute in time CHO commands taking into the account the UE’s movement direction with respect to the satellite’s movement. </w:t>
      </w:r>
    </w:p>
    <w:p w14:paraId="52BD582D" w14:textId="77777777" w:rsidR="00666705" w:rsidRPr="00666705" w:rsidRDefault="00666705" w:rsidP="00666705">
      <w:pPr>
        <w:rPr>
          <w:b/>
          <w:bCs/>
        </w:rPr>
      </w:pPr>
      <w:r>
        <w:rPr>
          <w:b/>
          <w:bCs/>
        </w:rPr>
        <w:t xml:space="preserve">Observation 3: using the cells’ reference location as an instantaneous metric can lead to unnecessary measurement reports/CHOs in the earth-moving cell scenario  </w:t>
      </w:r>
    </w:p>
    <w:p w14:paraId="40B80661" w14:textId="77777777" w:rsidR="00666705" w:rsidRDefault="00666705" w:rsidP="00666705">
      <w:pPr>
        <w:jc w:val="both"/>
        <w:rPr>
          <w:b/>
          <w:bCs/>
        </w:rPr>
      </w:pPr>
      <w:r>
        <w:rPr>
          <w:b/>
          <w:bCs/>
        </w:rPr>
        <w:t>Observation 4: determining the UE to reference location distance change over time enables the UE to select between candidate cells.</w:t>
      </w:r>
    </w:p>
    <w:p w14:paraId="2B96DE54" w14:textId="77777777" w:rsidR="00666705" w:rsidRPr="00666705" w:rsidRDefault="00666705" w:rsidP="00666705">
      <w:pPr>
        <w:jc w:val="both"/>
        <w:rPr>
          <w:b/>
          <w:bCs/>
        </w:rPr>
      </w:pPr>
      <w:r>
        <w:rPr>
          <w:b/>
          <w:bCs/>
        </w:rPr>
        <w:t>Observation 5: the UE to reference location distance change over time value can be applied as an offset parameter in radio measurement event evaluation.</w:t>
      </w:r>
    </w:p>
    <w:p w14:paraId="735EA040" w14:textId="77777777" w:rsidR="00666705" w:rsidRPr="00FF140F" w:rsidRDefault="00666705" w:rsidP="00666705">
      <w:pPr>
        <w:spacing w:before="240"/>
        <w:jc w:val="both"/>
        <w:rPr>
          <w:highlight w:val="yellow"/>
        </w:rPr>
      </w:pPr>
      <w:r>
        <w:rPr>
          <w:b/>
          <w:bCs/>
        </w:rPr>
        <w:t>Proposal</w:t>
      </w:r>
      <w:r w:rsidRPr="00A87E12">
        <w:rPr>
          <w:b/>
          <w:bCs/>
        </w:rPr>
        <w:t xml:space="preserve"> </w:t>
      </w:r>
      <w:r>
        <w:rPr>
          <w:b/>
          <w:bCs/>
        </w:rPr>
        <w:t>3</w:t>
      </w:r>
      <w:r w:rsidRPr="00A87E12">
        <w:rPr>
          <w:b/>
          <w:bCs/>
        </w:rPr>
        <w:t xml:space="preserve">: </w:t>
      </w:r>
      <w:r>
        <w:rPr>
          <w:b/>
          <w:bCs/>
        </w:rPr>
        <w:t xml:space="preserve">RAN2 to discuss how long time a UE can keep its connection alive without RLF if a next cell is close based on the location of the reference point. </w:t>
      </w:r>
    </w:p>
    <w:p w14:paraId="1D037C15" w14:textId="77777777" w:rsidR="00666705" w:rsidRPr="00D47C67" w:rsidRDefault="00666705" w:rsidP="00666705">
      <w:pPr>
        <w:jc w:val="both"/>
        <w:rPr>
          <w:b/>
          <w:bCs/>
        </w:rPr>
      </w:pPr>
      <w:r w:rsidRPr="00D47C67">
        <w:rPr>
          <w:b/>
          <w:bCs/>
        </w:rPr>
        <w:t xml:space="preserve">Proposal </w:t>
      </w:r>
      <w:r>
        <w:rPr>
          <w:b/>
          <w:bCs/>
        </w:rPr>
        <w:t>4</w:t>
      </w:r>
      <w:r w:rsidRPr="00D47C67">
        <w:rPr>
          <w:b/>
          <w:bCs/>
        </w:rPr>
        <w:t xml:space="preserve">: RAN2 is asked to support the mechanism, where the UE can be provided with CHO configurations for cells beyond the next cell change (future candidate cells). </w:t>
      </w:r>
    </w:p>
    <w:p w14:paraId="36C342F5" w14:textId="77777777" w:rsidR="00292DEC" w:rsidRPr="00D47C67" w:rsidRDefault="00292DEC" w:rsidP="00292DEC">
      <w:pPr>
        <w:jc w:val="both"/>
        <w:rPr>
          <w:b/>
          <w:bCs/>
        </w:rPr>
      </w:pPr>
      <w:r w:rsidRPr="00D47C67">
        <w:rPr>
          <w:b/>
          <w:bCs/>
        </w:rPr>
        <w:t xml:space="preserve">Proposal </w:t>
      </w:r>
      <w:r>
        <w:rPr>
          <w:b/>
          <w:bCs/>
        </w:rPr>
        <w:t>5</w:t>
      </w:r>
      <w:r w:rsidRPr="00D47C67">
        <w:rPr>
          <w:b/>
          <w:bCs/>
        </w:rPr>
        <w:t>: UE’s expected time of stay in the cell can be used for avoiding too early resource reservations.</w:t>
      </w:r>
    </w:p>
    <w:p w14:paraId="37494AB4" w14:textId="77777777" w:rsidR="00292DEC" w:rsidRPr="00D47C67" w:rsidRDefault="00292DEC" w:rsidP="00292DEC">
      <w:pPr>
        <w:jc w:val="both"/>
        <w:rPr>
          <w:b/>
          <w:bCs/>
        </w:rPr>
      </w:pPr>
      <w:r w:rsidRPr="00D47C67">
        <w:rPr>
          <w:b/>
          <w:bCs/>
        </w:rPr>
        <w:t xml:space="preserve">Proposal </w:t>
      </w:r>
      <w:r>
        <w:rPr>
          <w:b/>
          <w:bCs/>
        </w:rPr>
        <w:t>6</w:t>
      </w:r>
      <w:r w:rsidRPr="00D47C67">
        <w:rPr>
          <w:b/>
          <w:bCs/>
        </w:rPr>
        <w:t>: When accessing the new cell, UE may report it was configured with the chain of CHO configurations in one of the preceding cells.</w:t>
      </w:r>
    </w:p>
    <w:p w14:paraId="3076D43F" w14:textId="77777777" w:rsidR="00292DEC" w:rsidRPr="00292DEC" w:rsidRDefault="00292DEC" w:rsidP="00292DEC">
      <w:pPr>
        <w:jc w:val="both"/>
        <w:rPr>
          <w:b/>
          <w:bCs/>
          <w:lang w:val="en-US"/>
        </w:rPr>
      </w:pPr>
      <w:r w:rsidRPr="0084273B">
        <w:rPr>
          <w:b/>
          <w:bCs/>
          <w:lang w:val="en-US"/>
        </w:rPr>
        <w:t>Proposal</w:t>
      </w:r>
      <w:r>
        <w:rPr>
          <w:b/>
          <w:bCs/>
          <w:lang w:val="en-US"/>
        </w:rPr>
        <w:t xml:space="preserve"> 7</w:t>
      </w:r>
      <w:r w:rsidRPr="0084273B">
        <w:rPr>
          <w:b/>
          <w:bCs/>
          <w:lang w:val="en-US"/>
        </w:rPr>
        <w:t>: RAN2 to discuss the solution approach outlined here to compensate the HO execution latency and to enhance the event A4 entering and leaving criteria.</w:t>
      </w:r>
    </w:p>
    <w:p w14:paraId="34788DF8" w14:textId="77777777" w:rsidR="00292DEC" w:rsidRPr="003B6EC1" w:rsidRDefault="00292DEC" w:rsidP="00292DEC">
      <w:pPr>
        <w:jc w:val="both"/>
        <w:rPr>
          <w:b/>
          <w:bCs/>
        </w:rPr>
      </w:pPr>
      <w:r w:rsidRPr="003B6EC1">
        <w:rPr>
          <w:b/>
          <w:bCs/>
        </w:rPr>
        <w:t xml:space="preserve">Proposal </w:t>
      </w:r>
      <w:r>
        <w:rPr>
          <w:b/>
          <w:bCs/>
        </w:rPr>
        <w:t>8</w:t>
      </w:r>
      <w:r w:rsidRPr="003B6EC1">
        <w:rPr>
          <w:b/>
          <w:bCs/>
        </w:rPr>
        <w:t>: In Release 17, the legacy priorities for IDLE mode are sufficient for cell reselections between TN and NTN.</w:t>
      </w:r>
    </w:p>
    <w:p w14:paraId="4C1ACAB0" w14:textId="77777777" w:rsidR="00292DEC" w:rsidRPr="003B6EC1" w:rsidRDefault="00292DEC" w:rsidP="00292DEC">
      <w:pPr>
        <w:jc w:val="both"/>
        <w:rPr>
          <w:b/>
          <w:bCs/>
        </w:rPr>
      </w:pPr>
      <w:r w:rsidRPr="003B6EC1">
        <w:rPr>
          <w:b/>
          <w:bCs/>
        </w:rPr>
        <w:t xml:space="preserve">Observation </w:t>
      </w:r>
      <w:r>
        <w:rPr>
          <w:b/>
          <w:bCs/>
        </w:rPr>
        <w:t>6</w:t>
      </w:r>
      <w:r w:rsidRPr="003B6EC1">
        <w:rPr>
          <w:b/>
          <w:bCs/>
        </w:rPr>
        <w:t xml:space="preserve">: Not all CHO mechanisms defined for intra-NTN mobility are needed for TN-&gt;NTN or NTN-&gt;TN mobility. </w:t>
      </w:r>
    </w:p>
    <w:p w14:paraId="750C8EB4" w14:textId="27CD89EA" w:rsidR="00666705" w:rsidRPr="00292DEC" w:rsidRDefault="00292DEC" w:rsidP="00F263B8">
      <w:pPr>
        <w:jc w:val="both"/>
        <w:rPr>
          <w:b/>
          <w:bCs/>
        </w:rPr>
      </w:pPr>
      <w:r w:rsidRPr="003B6EC1">
        <w:rPr>
          <w:b/>
          <w:bCs/>
        </w:rPr>
        <w:t xml:space="preserve">Proposal </w:t>
      </w:r>
      <w:r>
        <w:rPr>
          <w:b/>
          <w:bCs/>
        </w:rPr>
        <w:t>9</w:t>
      </w:r>
      <w:r w:rsidRPr="003B6EC1">
        <w:rPr>
          <w:b/>
          <w:bCs/>
        </w:rPr>
        <w:t>: The exact applicability of CHO mechanisms to TN &lt;-&gt; NTN individual use cases shall be assessed by RAN2.</w:t>
      </w:r>
    </w:p>
    <w:p w14:paraId="21C353FA" w14:textId="3FF695C8" w:rsidR="00923740" w:rsidRPr="00666705" w:rsidRDefault="00923740" w:rsidP="00F263B8">
      <w:pPr>
        <w:pStyle w:val="Heading1"/>
        <w:jc w:val="both"/>
      </w:pPr>
      <w:r w:rsidRPr="00666705">
        <w:t>References</w:t>
      </w:r>
    </w:p>
    <w:p w14:paraId="71DCFD4F" w14:textId="4FC502C7" w:rsidR="00923740" w:rsidRPr="00666705" w:rsidRDefault="00923740" w:rsidP="00F263B8">
      <w:pPr>
        <w:jc w:val="both"/>
      </w:pPr>
      <w:r w:rsidRPr="00666705">
        <w:t xml:space="preserve">[1] R2-2102016 </w:t>
      </w:r>
      <w:r w:rsidRPr="00666705">
        <w:rPr>
          <w:i/>
          <w:iCs/>
        </w:rPr>
        <w:t>Report of [AT113-e][</w:t>
      </w:r>
      <w:proofErr w:type="gramStart"/>
      <w:r w:rsidRPr="00666705">
        <w:rPr>
          <w:i/>
          <w:iCs/>
        </w:rPr>
        <w:t>106][</w:t>
      </w:r>
      <w:proofErr w:type="gramEnd"/>
      <w:r w:rsidRPr="00666705">
        <w:rPr>
          <w:i/>
          <w:iCs/>
        </w:rPr>
        <w:t>NTN] CHO aspects (Ericsson)</w:t>
      </w:r>
      <w:r w:rsidRPr="00666705">
        <w:t xml:space="preserve"> 3GPP TSG-RAN WG2 Meeting #113 electronic, January 25th - February 5th, 2021</w:t>
      </w:r>
    </w:p>
    <w:p w14:paraId="540870EC" w14:textId="7476CF66" w:rsidR="0057728A" w:rsidRPr="00666705" w:rsidRDefault="0057728A" w:rsidP="00F263B8">
      <w:pPr>
        <w:jc w:val="both"/>
      </w:pPr>
      <w:r w:rsidRPr="00666705">
        <w:t>[2] R2-2104373</w:t>
      </w:r>
      <w:r w:rsidRPr="00666705">
        <w:tab/>
      </w:r>
      <w:r w:rsidRPr="00666705">
        <w:rPr>
          <w:i/>
          <w:iCs/>
        </w:rPr>
        <w:t>Summary of offline 107 - [NTN] CHO aspects - second round</w:t>
      </w:r>
      <w:r w:rsidRPr="00666705">
        <w:tab/>
        <w:t>Nokia</w:t>
      </w:r>
      <w:r w:rsidRPr="00666705">
        <w:tab/>
        <w:t>3GPP TSG-RAN WG2 Meeting #113bis electronic, 12 – 20th of April 2021</w:t>
      </w:r>
    </w:p>
    <w:p w14:paraId="0CFF63FC" w14:textId="7B744719" w:rsidR="000306BB" w:rsidRPr="00666705" w:rsidRDefault="000306BB" w:rsidP="00F263B8">
      <w:pPr>
        <w:jc w:val="both"/>
      </w:pPr>
      <w:r w:rsidRPr="00666705">
        <w:t>[3] R2-2104302</w:t>
      </w:r>
      <w:r w:rsidRPr="00666705">
        <w:tab/>
      </w:r>
      <w:r w:rsidRPr="00666705">
        <w:rPr>
          <w:i/>
          <w:iCs/>
        </w:rPr>
        <w:t>Report from Break-out session on R17 NTN and REDCAP</w:t>
      </w:r>
      <w:r w:rsidR="005048A2" w:rsidRPr="00666705">
        <w:t xml:space="preserve"> </w:t>
      </w:r>
      <w:r w:rsidR="005048A2" w:rsidRPr="00666705">
        <w:tab/>
        <w:t>3GPP TSG-RAN WG2 Meeting #113bis electronic, 12 – 20th of April 2021</w:t>
      </w:r>
    </w:p>
    <w:p w14:paraId="04E57B27" w14:textId="1130F50B" w:rsidR="008557D7" w:rsidRPr="00666705" w:rsidRDefault="008557D7" w:rsidP="00F263B8">
      <w:pPr>
        <w:jc w:val="both"/>
      </w:pPr>
      <w:r w:rsidRPr="00666705">
        <w:t>[</w:t>
      </w:r>
      <w:r w:rsidR="0070763F" w:rsidRPr="00666705">
        <w:t>4</w:t>
      </w:r>
      <w:r w:rsidRPr="00666705">
        <w:t xml:space="preserve">] </w:t>
      </w:r>
      <w:r w:rsidR="0008138E" w:rsidRPr="00666705">
        <w:t xml:space="preserve">R2-2106472 </w:t>
      </w:r>
      <w:r w:rsidR="0008138E" w:rsidRPr="00666705">
        <w:rPr>
          <w:i/>
          <w:iCs/>
        </w:rPr>
        <w:t>Report from Break-out session on R17 NTN and REDCAP</w:t>
      </w:r>
      <w:r w:rsidR="0008138E" w:rsidRPr="00666705">
        <w:t xml:space="preserve"> 3GPP TSG-RAN WG2 Meeting #11</w:t>
      </w:r>
      <w:r w:rsidR="000349F2" w:rsidRPr="00666705">
        <w:t>4</w:t>
      </w:r>
      <w:r w:rsidR="0008138E" w:rsidRPr="00666705">
        <w:t xml:space="preserve"> electronic, 1</w:t>
      </w:r>
      <w:r w:rsidR="000349F2" w:rsidRPr="00666705">
        <w:t>9</w:t>
      </w:r>
      <w:r w:rsidR="0008138E" w:rsidRPr="00666705">
        <w:t xml:space="preserve"> – </w:t>
      </w:r>
      <w:r w:rsidR="000349F2" w:rsidRPr="00666705">
        <w:t>27</w:t>
      </w:r>
      <w:r w:rsidR="0008138E" w:rsidRPr="00666705">
        <w:t xml:space="preserve">th of </w:t>
      </w:r>
      <w:r w:rsidR="000349F2" w:rsidRPr="00666705">
        <w:t>May</w:t>
      </w:r>
      <w:r w:rsidR="0008138E" w:rsidRPr="00666705">
        <w:t xml:space="preserve"> 2021</w:t>
      </w:r>
    </w:p>
    <w:p w14:paraId="1E356929" w14:textId="2F4D7108" w:rsidR="00CE498D" w:rsidRPr="00666705" w:rsidRDefault="00CE498D" w:rsidP="00AF7C04">
      <w:pPr>
        <w:jc w:val="both"/>
      </w:pPr>
      <w:r w:rsidRPr="00666705">
        <w:t>[5]</w:t>
      </w:r>
      <w:r w:rsidR="00AF7C04" w:rsidRPr="00666705">
        <w:t xml:space="preserve"> R2-2108832 </w:t>
      </w:r>
      <w:r w:rsidR="00AF7C04" w:rsidRPr="008952DA">
        <w:rPr>
          <w:i/>
          <w:iCs/>
        </w:rPr>
        <w:t>Report from Break-out session on R17 NTN, REDCAP and CE</w:t>
      </w:r>
      <w:r w:rsidR="00AF7C04" w:rsidRPr="008952DA">
        <w:t xml:space="preserve"> </w:t>
      </w:r>
      <w:bookmarkStart w:id="1" w:name="_Hlk84594676"/>
      <w:r w:rsidR="00AF7C04" w:rsidRPr="008952DA">
        <w:t>3GPP TSG-RAN WG2 Meeting #115 electronic</w:t>
      </w:r>
      <w:r w:rsidR="00AF7C04" w:rsidRPr="008952DA">
        <w:tab/>
        <w:t>Aug 16th - 27th, 2021</w:t>
      </w:r>
      <w:bookmarkEnd w:id="1"/>
    </w:p>
    <w:p w14:paraId="74D1B334" w14:textId="5784994D" w:rsidR="00E16F8B" w:rsidRPr="008952DA" w:rsidRDefault="00E16F8B" w:rsidP="00F263B8">
      <w:pPr>
        <w:jc w:val="both"/>
      </w:pPr>
      <w:r w:rsidRPr="00666705">
        <w:rPr>
          <w:lang w:val="en-US"/>
        </w:rPr>
        <w:t>[</w:t>
      </w:r>
      <w:r w:rsidR="00CE498D" w:rsidRPr="00666705">
        <w:rPr>
          <w:lang w:val="en-US"/>
        </w:rPr>
        <w:t>6</w:t>
      </w:r>
      <w:r w:rsidRPr="00666705">
        <w:rPr>
          <w:lang w:val="en-US"/>
        </w:rPr>
        <w:t xml:space="preserve">] </w:t>
      </w:r>
      <w:hyperlink r:id="rId16" w:tooltip="C:Data3GPPExtractsR2-2100744.doc" w:history="1">
        <w:r w:rsidRPr="00666705">
          <w:rPr>
            <w:lang w:val="en-US"/>
          </w:rPr>
          <w:t>R2-2100744</w:t>
        </w:r>
      </w:hyperlink>
      <w:r w:rsidR="00873554" w:rsidRPr="00666705">
        <w:rPr>
          <w:lang w:val="en-US"/>
        </w:rPr>
        <w:t xml:space="preserve"> </w:t>
      </w:r>
      <w:r w:rsidR="00873554" w:rsidRPr="00666705">
        <w:rPr>
          <w:i/>
          <w:iCs/>
        </w:rPr>
        <w:t>Configuration and execution of CHO</w:t>
      </w:r>
      <w:r w:rsidR="00873554" w:rsidRPr="00666705">
        <w:t xml:space="preserve"> 3GPP TSG-RAN WG2 Meeting #113 electronic, January 25th - February 5th, 2021</w:t>
      </w:r>
    </w:p>
    <w:p w14:paraId="72187347" w14:textId="4703ADC8" w:rsidR="00A35ED6" w:rsidRPr="008952DA" w:rsidRDefault="00A353BA" w:rsidP="00A35ED6">
      <w:pPr>
        <w:jc w:val="both"/>
      </w:pPr>
      <w:r w:rsidRPr="00F40344">
        <w:t>[</w:t>
      </w:r>
      <w:r w:rsidR="003D307E" w:rsidRPr="00F40344">
        <w:t>7] R2-2108890</w:t>
      </w:r>
      <w:r w:rsidR="007F4131" w:rsidRPr="008952DA">
        <w:t xml:space="preserve"> [AT115-e][</w:t>
      </w:r>
      <w:proofErr w:type="gramStart"/>
      <w:r w:rsidR="007F4131" w:rsidRPr="008952DA">
        <w:t>103][</w:t>
      </w:r>
      <w:proofErr w:type="gramEnd"/>
      <w:r w:rsidR="007F4131" w:rsidRPr="008952DA">
        <w:t xml:space="preserve">NTN] </w:t>
      </w:r>
      <w:r w:rsidR="007F4131" w:rsidRPr="008952DA">
        <w:rPr>
          <w:i/>
        </w:rPr>
        <w:t>CHO and NTN -TN mobility aspects (Ericsson)</w:t>
      </w:r>
      <w:r w:rsidR="007F4131" w:rsidRPr="008952DA">
        <w:t xml:space="preserve"> 3GPP TSG-RAN WG2 Meeting #115 electronic</w:t>
      </w:r>
      <w:r w:rsidR="007F4131" w:rsidRPr="008952DA">
        <w:tab/>
        <w:t>Aug 16th - 27th, 2021</w:t>
      </w:r>
    </w:p>
    <w:p w14:paraId="4346B300" w14:textId="37B5F163" w:rsidR="00CB2BDB" w:rsidRPr="008952DA" w:rsidRDefault="00CB2BDB" w:rsidP="00085390">
      <w:pPr>
        <w:jc w:val="both"/>
      </w:pPr>
      <w:r w:rsidRPr="008952DA">
        <w:t>[8] E. Juan et al, “</w:t>
      </w:r>
      <w:r w:rsidR="00085390" w:rsidRPr="008952DA">
        <w:t>5G New Radio Mobility Performance in LEO-based Non-Terrestrial Networks</w:t>
      </w:r>
      <w:r w:rsidRPr="008952DA">
        <w:t>”</w:t>
      </w:r>
      <w:r w:rsidR="00085390" w:rsidRPr="008952DA">
        <w:t xml:space="preserve">, IEEE </w:t>
      </w:r>
      <w:proofErr w:type="spellStart"/>
      <w:r w:rsidR="00085390" w:rsidRPr="008952DA">
        <w:t>GlobeCom</w:t>
      </w:r>
      <w:proofErr w:type="spellEnd"/>
      <w:r w:rsidR="00085390" w:rsidRPr="008952DA">
        <w:t xml:space="preserve"> 2020</w:t>
      </w:r>
    </w:p>
    <w:p w14:paraId="6721E76F" w14:textId="60171293" w:rsidR="004E1A48" w:rsidRPr="00CA53CD" w:rsidRDefault="004E1A48" w:rsidP="00085390">
      <w:pPr>
        <w:jc w:val="both"/>
      </w:pPr>
      <w:r w:rsidRPr="008952DA">
        <w:t>[9] R2-2103335</w:t>
      </w:r>
      <w:r w:rsidR="00CC0FFC" w:rsidRPr="008952DA">
        <w:t xml:space="preserve"> </w:t>
      </w:r>
      <w:r w:rsidR="00AE38D6" w:rsidRPr="00666705">
        <w:rPr>
          <w:i/>
          <w:iCs/>
        </w:rPr>
        <w:t>On connected mode mobility for NTN</w:t>
      </w:r>
      <w:r w:rsidR="00AE38D6" w:rsidRPr="008952DA">
        <w:rPr>
          <w:i/>
          <w:iCs/>
        </w:rPr>
        <w:t xml:space="preserve"> </w:t>
      </w:r>
      <w:r w:rsidR="00AE38D6" w:rsidRPr="008952DA">
        <w:t>Nokia, Nokia Shanghai Bell</w:t>
      </w:r>
    </w:p>
    <w:p w14:paraId="7F03FD9A" w14:textId="77777777" w:rsidR="00CB2BDB" w:rsidRDefault="00CB2BDB" w:rsidP="00F263B8">
      <w:pPr>
        <w:jc w:val="both"/>
      </w:pPr>
    </w:p>
    <w:p w14:paraId="522F0D6E" w14:textId="7223213B" w:rsidR="00FE44FB" w:rsidRDefault="00FE44FB" w:rsidP="00F263B8">
      <w:pPr>
        <w:jc w:val="both"/>
      </w:pPr>
    </w:p>
    <w:p w14:paraId="48BEC055" w14:textId="77777777" w:rsidR="00FE44FB" w:rsidRPr="00923740" w:rsidRDefault="00FE44FB" w:rsidP="00F263B8">
      <w:pPr>
        <w:jc w:val="both"/>
      </w:pPr>
    </w:p>
    <w:sectPr w:rsidR="00FE44FB" w:rsidRPr="0092374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992CA8" w14:textId="77777777" w:rsidR="00A46FC1" w:rsidRDefault="00A46FC1">
      <w:r>
        <w:separator/>
      </w:r>
    </w:p>
  </w:endnote>
  <w:endnote w:type="continuationSeparator" w:id="0">
    <w:p w14:paraId="2D048BD7" w14:textId="77777777" w:rsidR="00A46FC1" w:rsidRDefault="00A46FC1">
      <w:r>
        <w:continuationSeparator/>
      </w:r>
    </w:p>
  </w:endnote>
  <w:endnote w:type="continuationNotice" w:id="1">
    <w:p w14:paraId="0E52BE9F" w14:textId="77777777" w:rsidR="00A46FC1" w:rsidRDefault="00A46F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9F0E35" w:rsidRDefault="009F0E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9F0E35" w:rsidRDefault="009F0E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9F0E35" w:rsidRDefault="009F0E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507BBE" w14:textId="77777777" w:rsidR="00A46FC1" w:rsidRDefault="00A46FC1">
      <w:r>
        <w:separator/>
      </w:r>
    </w:p>
  </w:footnote>
  <w:footnote w:type="continuationSeparator" w:id="0">
    <w:p w14:paraId="27D58A0F" w14:textId="77777777" w:rsidR="00A46FC1" w:rsidRDefault="00A46FC1">
      <w:r>
        <w:continuationSeparator/>
      </w:r>
    </w:p>
  </w:footnote>
  <w:footnote w:type="continuationNotice" w:id="1">
    <w:p w14:paraId="0BFE6F4C" w14:textId="77777777" w:rsidR="00A46FC1" w:rsidRDefault="00A46F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9F0E35" w:rsidRDefault="009F0E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9F0E35" w:rsidRDefault="009F0E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9F0E35" w:rsidRDefault="009F0E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E52085"/>
    <w:multiLevelType w:val="hybridMultilevel"/>
    <w:tmpl w:val="9C74BB28"/>
    <w:lvl w:ilvl="0" w:tplc="2EDC32A6">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1D6EC2"/>
    <w:multiLevelType w:val="hybridMultilevel"/>
    <w:tmpl w:val="3E5E17DA"/>
    <w:lvl w:ilvl="0" w:tplc="0415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AB36E3"/>
    <w:multiLevelType w:val="hybridMultilevel"/>
    <w:tmpl w:val="AD008800"/>
    <w:lvl w:ilvl="0" w:tplc="1E4A4B3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6E0FAE"/>
    <w:multiLevelType w:val="hybridMultilevel"/>
    <w:tmpl w:val="5C583516"/>
    <w:lvl w:ilvl="0" w:tplc="04150017">
      <w:start w:val="1"/>
      <w:numFmt w:val="lowerLetter"/>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D9F3017"/>
    <w:multiLevelType w:val="hybridMultilevel"/>
    <w:tmpl w:val="3E5E17DA"/>
    <w:lvl w:ilvl="0" w:tplc="0415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160700"/>
    <w:multiLevelType w:val="hybridMultilevel"/>
    <w:tmpl w:val="51A45BD2"/>
    <w:lvl w:ilvl="0" w:tplc="446C4F3A">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E4B4C45"/>
    <w:multiLevelType w:val="hybridMultilevel"/>
    <w:tmpl w:val="B5227370"/>
    <w:lvl w:ilvl="0" w:tplc="0406000F">
      <w:start w:val="1"/>
      <w:numFmt w:val="decimal"/>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583A630B"/>
    <w:multiLevelType w:val="hybridMultilevel"/>
    <w:tmpl w:val="BF84C0B4"/>
    <w:lvl w:ilvl="0" w:tplc="ADF2CC6C">
      <w:numFmt w:val="bullet"/>
      <w:lvlText w:val=""/>
      <w:lvlJc w:val="left"/>
      <w:pPr>
        <w:ind w:left="720" w:hanging="360"/>
      </w:pPr>
      <w:rPr>
        <w:rFonts w:ascii="Wingdings" w:eastAsia="Calibri" w:hAnsi="Wingdings"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5A2A4F76"/>
    <w:multiLevelType w:val="hybridMultilevel"/>
    <w:tmpl w:val="38B289E2"/>
    <w:lvl w:ilvl="0" w:tplc="AD040626">
      <w:start w:val="24"/>
      <w:numFmt w:val="bullet"/>
      <w:lvlText w:val=""/>
      <w:lvlJc w:val="left"/>
      <w:pPr>
        <w:ind w:left="720" w:hanging="360"/>
      </w:pPr>
      <w:rPr>
        <w:rFonts w:ascii="Wingdings" w:eastAsiaTheme="minorEastAsia" w:hAnsi="Wingding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5E187E62"/>
    <w:multiLevelType w:val="hybridMultilevel"/>
    <w:tmpl w:val="8982E0EE"/>
    <w:lvl w:ilvl="0" w:tplc="446C4F3A">
      <w:start w:val="1"/>
      <w:numFmt w:val="bullet"/>
      <w:lvlText w:val="-"/>
      <w:lvlJc w:val="left"/>
      <w:pPr>
        <w:ind w:left="774" w:hanging="360"/>
      </w:pPr>
      <w:rPr>
        <w:rFonts w:ascii="Arial" w:eastAsia="MS Mincho" w:hAnsi="Arial" w:cs="Aria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6" w15:restartNumberingAfterBreak="0">
    <w:nsid w:val="70913118"/>
    <w:multiLevelType w:val="hybridMultilevel"/>
    <w:tmpl w:val="63646F62"/>
    <w:lvl w:ilvl="0" w:tplc="446C4F3A">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10"/>
  </w:num>
  <w:num w:numId="7">
    <w:abstractNumId w:val="11"/>
  </w:num>
  <w:num w:numId="8">
    <w:abstractNumId w:val="9"/>
  </w:num>
  <w:num w:numId="9">
    <w:abstractNumId w:val="16"/>
  </w:num>
  <w:num w:numId="10">
    <w:abstractNumId w:val="15"/>
  </w:num>
  <w:num w:numId="11">
    <w:abstractNumId w:val="2"/>
  </w:num>
  <w:num w:numId="12">
    <w:abstractNumId w:val="8"/>
  </w:num>
  <w:num w:numId="13">
    <w:abstractNumId w:val="6"/>
  </w:num>
  <w:num w:numId="14">
    <w:abstractNumId w:val="3"/>
  </w:num>
  <w:num w:numId="15">
    <w:abstractNumId w:val="14"/>
  </w:num>
  <w:num w:numId="16">
    <w:abstractNumId w:val="12"/>
  </w:num>
  <w:num w:numId="17">
    <w:abstractNumId w:val="4"/>
  </w:num>
  <w:num w:numId="18">
    <w:abstractNumId w:val="13"/>
  </w:num>
  <w:num w:numId="19">
    <w:abstractNumId w:val="14"/>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7CA"/>
    <w:rsid w:val="000019E4"/>
    <w:rsid w:val="0000346C"/>
    <w:rsid w:val="00003FB2"/>
    <w:rsid w:val="00004348"/>
    <w:rsid w:val="00004906"/>
    <w:rsid w:val="00005EE5"/>
    <w:rsid w:val="00005FBE"/>
    <w:rsid w:val="000103CA"/>
    <w:rsid w:val="0001350C"/>
    <w:rsid w:val="000136AD"/>
    <w:rsid w:val="00016557"/>
    <w:rsid w:val="00020450"/>
    <w:rsid w:val="00023C40"/>
    <w:rsid w:val="00026F53"/>
    <w:rsid w:val="000306BB"/>
    <w:rsid w:val="00031E43"/>
    <w:rsid w:val="00033397"/>
    <w:rsid w:val="00033A58"/>
    <w:rsid w:val="000349F2"/>
    <w:rsid w:val="0003609D"/>
    <w:rsid w:val="00040095"/>
    <w:rsid w:val="00044E65"/>
    <w:rsid w:val="0005200D"/>
    <w:rsid w:val="00053257"/>
    <w:rsid w:val="00053DE4"/>
    <w:rsid w:val="0005492E"/>
    <w:rsid w:val="00056A9B"/>
    <w:rsid w:val="00063B99"/>
    <w:rsid w:val="000650D5"/>
    <w:rsid w:val="0006623B"/>
    <w:rsid w:val="0006640B"/>
    <w:rsid w:val="000723C8"/>
    <w:rsid w:val="00072DF9"/>
    <w:rsid w:val="0007306A"/>
    <w:rsid w:val="00073C9C"/>
    <w:rsid w:val="00076D81"/>
    <w:rsid w:val="00080512"/>
    <w:rsid w:val="0008138E"/>
    <w:rsid w:val="0008151A"/>
    <w:rsid w:val="00081620"/>
    <w:rsid w:val="0008194D"/>
    <w:rsid w:val="00083F2E"/>
    <w:rsid w:val="00085390"/>
    <w:rsid w:val="00086628"/>
    <w:rsid w:val="00086B4C"/>
    <w:rsid w:val="00087710"/>
    <w:rsid w:val="00090468"/>
    <w:rsid w:val="00091419"/>
    <w:rsid w:val="000943B5"/>
    <w:rsid w:val="00094568"/>
    <w:rsid w:val="0009792B"/>
    <w:rsid w:val="000A0824"/>
    <w:rsid w:val="000A0DE0"/>
    <w:rsid w:val="000A4FF1"/>
    <w:rsid w:val="000B159A"/>
    <w:rsid w:val="000B2308"/>
    <w:rsid w:val="000B415A"/>
    <w:rsid w:val="000B5526"/>
    <w:rsid w:val="000B7324"/>
    <w:rsid w:val="000B7BCF"/>
    <w:rsid w:val="000B7FEE"/>
    <w:rsid w:val="000C458A"/>
    <w:rsid w:val="000C522B"/>
    <w:rsid w:val="000C6B64"/>
    <w:rsid w:val="000D0687"/>
    <w:rsid w:val="000D0E2E"/>
    <w:rsid w:val="000D2BE1"/>
    <w:rsid w:val="000D58AB"/>
    <w:rsid w:val="000D5FD0"/>
    <w:rsid w:val="000E1289"/>
    <w:rsid w:val="000E37E9"/>
    <w:rsid w:val="000E5D78"/>
    <w:rsid w:val="000E7CA0"/>
    <w:rsid w:val="000F11C2"/>
    <w:rsid w:val="000F45F9"/>
    <w:rsid w:val="000F51CC"/>
    <w:rsid w:val="000F5D72"/>
    <w:rsid w:val="00100EE5"/>
    <w:rsid w:val="00103E55"/>
    <w:rsid w:val="00104B81"/>
    <w:rsid w:val="00110547"/>
    <w:rsid w:val="00112F1A"/>
    <w:rsid w:val="00113113"/>
    <w:rsid w:val="00115AE4"/>
    <w:rsid w:val="001165CC"/>
    <w:rsid w:val="00116847"/>
    <w:rsid w:val="00121F8E"/>
    <w:rsid w:val="00123BC2"/>
    <w:rsid w:val="0012443C"/>
    <w:rsid w:val="0012648B"/>
    <w:rsid w:val="00126C04"/>
    <w:rsid w:val="00127641"/>
    <w:rsid w:val="00130C5D"/>
    <w:rsid w:val="0014022F"/>
    <w:rsid w:val="00143B32"/>
    <w:rsid w:val="00145075"/>
    <w:rsid w:val="00150FC8"/>
    <w:rsid w:val="0015305A"/>
    <w:rsid w:val="00160D68"/>
    <w:rsid w:val="00161C7F"/>
    <w:rsid w:val="001629D0"/>
    <w:rsid w:val="00163B78"/>
    <w:rsid w:val="0016581E"/>
    <w:rsid w:val="001677D5"/>
    <w:rsid w:val="00173051"/>
    <w:rsid w:val="001741A0"/>
    <w:rsid w:val="00175FA0"/>
    <w:rsid w:val="00176092"/>
    <w:rsid w:val="00176AC1"/>
    <w:rsid w:val="0017741A"/>
    <w:rsid w:val="001776B6"/>
    <w:rsid w:val="00177B75"/>
    <w:rsid w:val="00184196"/>
    <w:rsid w:val="00184CA4"/>
    <w:rsid w:val="00194C3F"/>
    <w:rsid w:val="00194CD0"/>
    <w:rsid w:val="00196C2E"/>
    <w:rsid w:val="001A27BC"/>
    <w:rsid w:val="001A56F1"/>
    <w:rsid w:val="001A6D3E"/>
    <w:rsid w:val="001A7498"/>
    <w:rsid w:val="001B0C4A"/>
    <w:rsid w:val="001B2E83"/>
    <w:rsid w:val="001B2E90"/>
    <w:rsid w:val="001B304D"/>
    <w:rsid w:val="001B3FB9"/>
    <w:rsid w:val="001B49C9"/>
    <w:rsid w:val="001C068B"/>
    <w:rsid w:val="001C1571"/>
    <w:rsid w:val="001C23F4"/>
    <w:rsid w:val="001C2C96"/>
    <w:rsid w:val="001C3394"/>
    <w:rsid w:val="001C4F79"/>
    <w:rsid w:val="001D0E0F"/>
    <w:rsid w:val="001E0744"/>
    <w:rsid w:val="001E1AA2"/>
    <w:rsid w:val="001E4A77"/>
    <w:rsid w:val="001E6FCE"/>
    <w:rsid w:val="001E760F"/>
    <w:rsid w:val="001F168B"/>
    <w:rsid w:val="001F2805"/>
    <w:rsid w:val="001F4FF1"/>
    <w:rsid w:val="001F62BB"/>
    <w:rsid w:val="001F68C6"/>
    <w:rsid w:val="001F7831"/>
    <w:rsid w:val="001F7CDE"/>
    <w:rsid w:val="001F7F68"/>
    <w:rsid w:val="00204045"/>
    <w:rsid w:val="00206638"/>
    <w:rsid w:val="0020712B"/>
    <w:rsid w:val="00211D00"/>
    <w:rsid w:val="0021500A"/>
    <w:rsid w:val="0021573B"/>
    <w:rsid w:val="00216D35"/>
    <w:rsid w:val="00217564"/>
    <w:rsid w:val="0022061D"/>
    <w:rsid w:val="00220C58"/>
    <w:rsid w:val="0022606D"/>
    <w:rsid w:val="002271BB"/>
    <w:rsid w:val="002302A8"/>
    <w:rsid w:val="00231728"/>
    <w:rsid w:val="00231938"/>
    <w:rsid w:val="0023538F"/>
    <w:rsid w:val="00236FD4"/>
    <w:rsid w:val="00240C8E"/>
    <w:rsid w:val="00242E8E"/>
    <w:rsid w:val="00244A05"/>
    <w:rsid w:val="002470F1"/>
    <w:rsid w:val="002477E8"/>
    <w:rsid w:val="00250404"/>
    <w:rsid w:val="0025426A"/>
    <w:rsid w:val="00260052"/>
    <w:rsid w:val="0026108C"/>
    <w:rsid w:val="002610D8"/>
    <w:rsid w:val="00263884"/>
    <w:rsid w:val="00263E8C"/>
    <w:rsid w:val="00264022"/>
    <w:rsid w:val="00264557"/>
    <w:rsid w:val="00267991"/>
    <w:rsid w:val="002747EC"/>
    <w:rsid w:val="002753C0"/>
    <w:rsid w:val="002805BD"/>
    <w:rsid w:val="00282E3C"/>
    <w:rsid w:val="002855BF"/>
    <w:rsid w:val="0028751D"/>
    <w:rsid w:val="002926DD"/>
    <w:rsid w:val="00292A55"/>
    <w:rsid w:val="00292DEC"/>
    <w:rsid w:val="00295A13"/>
    <w:rsid w:val="002962D7"/>
    <w:rsid w:val="002976A9"/>
    <w:rsid w:val="002A07E9"/>
    <w:rsid w:val="002A2E61"/>
    <w:rsid w:val="002A3516"/>
    <w:rsid w:val="002A3E42"/>
    <w:rsid w:val="002A4683"/>
    <w:rsid w:val="002A4FAA"/>
    <w:rsid w:val="002B64EA"/>
    <w:rsid w:val="002B7C6E"/>
    <w:rsid w:val="002C08BE"/>
    <w:rsid w:val="002C1B7B"/>
    <w:rsid w:val="002C6D50"/>
    <w:rsid w:val="002C7E74"/>
    <w:rsid w:val="002D23B2"/>
    <w:rsid w:val="002D38B8"/>
    <w:rsid w:val="002D562F"/>
    <w:rsid w:val="002E118B"/>
    <w:rsid w:val="002E22C5"/>
    <w:rsid w:val="002E315D"/>
    <w:rsid w:val="002F061E"/>
    <w:rsid w:val="002F0B65"/>
    <w:rsid w:val="002F0D22"/>
    <w:rsid w:val="002F0F87"/>
    <w:rsid w:val="002F1FD9"/>
    <w:rsid w:val="002F31C7"/>
    <w:rsid w:val="002F5E53"/>
    <w:rsid w:val="003022C2"/>
    <w:rsid w:val="003072F4"/>
    <w:rsid w:val="00311B17"/>
    <w:rsid w:val="00312F19"/>
    <w:rsid w:val="00316E97"/>
    <w:rsid w:val="003172DC"/>
    <w:rsid w:val="00317405"/>
    <w:rsid w:val="0032310A"/>
    <w:rsid w:val="003256BD"/>
    <w:rsid w:val="00325AE3"/>
    <w:rsid w:val="00326069"/>
    <w:rsid w:val="003318EC"/>
    <w:rsid w:val="003367EF"/>
    <w:rsid w:val="00341AD0"/>
    <w:rsid w:val="00341BB0"/>
    <w:rsid w:val="003438B8"/>
    <w:rsid w:val="00343CCC"/>
    <w:rsid w:val="00351312"/>
    <w:rsid w:val="003518AE"/>
    <w:rsid w:val="0035462D"/>
    <w:rsid w:val="00355781"/>
    <w:rsid w:val="0035730B"/>
    <w:rsid w:val="00360344"/>
    <w:rsid w:val="00362609"/>
    <w:rsid w:val="0036459E"/>
    <w:rsid w:val="00364B41"/>
    <w:rsid w:val="003768E2"/>
    <w:rsid w:val="00381EB5"/>
    <w:rsid w:val="00383096"/>
    <w:rsid w:val="003848C4"/>
    <w:rsid w:val="003860EF"/>
    <w:rsid w:val="00390AA9"/>
    <w:rsid w:val="00392718"/>
    <w:rsid w:val="0039346C"/>
    <w:rsid w:val="00395D6A"/>
    <w:rsid w:val="003A1629"/>
    <w:rsid w:val="003A2891"/>
    <w:rsid w:val="003A3883"/>
    <w:rsid w:val="003A41EF"/>
    <w:rsid w:val="003A4F03"/>
    <w:rsid w:val="003B0177"/>
    <w:rsid w:val="003B279C"/>
    <w:rsid w:val="003B40AD"/>
    <w:rsid w:val="003B4123"/>
    <w:rsid w:val="003B5A00"/>
    <w:rsid w:val="003B6EC1"/>
    <w:rsid w:val="003B7803"/>
    <w:rsid w:val="003C31BE"/>
    <w:rsid w:val="003C393A"/>
    <w:rsid w:val="003C4E37"/>
    <w:rsid w:val="003C531A"/>
    <w:rsid w:val="003C5325"/>
    <w:rsid w:val="003C65A9"/>
    <w:rsid w:val="003C7AFC"/>
    <w:rsid w:val="003D24B0"/>
    <w:rsid w:val="003D307E"/>
    <w:rsid w:val="003D33C2"/>
    <w:rsid w:val="003E07C6"/>
    <w:rsid w:val="003E16BE"/>
    <w:rsid w:val="003E3F0E"/>
    <w:rsid w:val="003E418F"/>
    <w:rsid w:val="003E464A"/>
    <w:rsid w:val="003E72BB"/>
    <w:rsid w:val="003F2A13"/>
    <w:rsid w:val="003F2AA3"/>
    <w:rsid w:val="003F430B"/>
    <w:rsid w:val="003F4E28"/>
    <w:rsid w:val="003F73F7"/>
    <w:rsid w:val="004006E8"/>
    <w:rsid w:val="00401855"/>
    <w:rsid w:val="0040242C"/>
    <w:rsid w:val="00402B0D"/>
    <w:rsid w:val="00403794"/>
    <w:rsid w:val="00403A68"/>
    <w:rsid w:val="004043E2"/>
    <w:rsid w:val="00404BD9"/>
    <w:rsid w:val="004076D3"/>
    <w:rsid w:val="004120B6"/>
    <w:rsid w:val="00412643"/>
    <w:rsid w:val="004173D1"/>
    <w:rsid w:val="00417CEB"/>
    <w:rsid w:val="004216DA"/>
    <w:rsid w:val="00437627"/>
    <w:rsid w:val="00446DF3"/>
    <w:rsid w:val="00447F8B"/>
    <w:rsid w:val="00454316"/>
    <w:rsid w:val="00454C30"/>
    <w:rsid w:val="0046053C"/>
    <w:rsid w:val="00460B6D"/>
    <w:rsid w:val="004611BB"/>
    <w:rsid w:val="00465587"/>
    <w:rsid w:val="004713F8"/>
    <w:rsid w:val="00472587"/>
    <w:rsid w:val="00474D70"/>
    <w:rsid w:val="00475E1D"/>
    <w:rsid w:val="00476814"/>
    <w:rsid w:val="00476C4D"/>
    <w:rsid w:val="00477455"/>
    <w:rsid w:val="004778A1"/>
    <w:rsid w:val="0048135C"/>
    <w:rsid w:val="00483608"/>
    <w:rsid w:val="0048689F"/>
    <w:rsid w:val="00487321"/>
    <w:rsid w:val="00491993"/>
    <w:rsid w:val="00492D0E"/>
    <w:rsid w:val="004959BA"/>
    <w:rsid w:val="0049765F"/>
    <w:rsid w:val="004A04BE"/>
    <w:rsid w:val="004A1F7B"/>
    <w:rsid w:val="004A24EB"/>
    <w:rsid w:val="004A6583"/>
    <w:rsid w:val="004B2282"/>
    <w:rsid w:val="004B4986"/>
    <w:rsid w:val="004B4A22"/>
    <w:rsid w:val="004B69FD"/>
    <w:rsid w:val="004C068E"/>
    <w:rsid w:val="004C44D2"/>
    <w:rsid w:val="004C4FDB"/>
    <w:rsid w:val="004C53F9"/>
    <w:rsid w:val="004C778B"/>
    <w:rsid w:val="004D1CE4"/>
    <w:rsid w:val="004D3578"/>
    <w:rsid w:val="004D380D"/>
    <w:rsid w:val="004D7C55"/>
    <w:rsid w:val="004E0412"/>
    <w:rsid w:val="004E1A48"/>
    <w:rsid w:val="004E213A"/>
    <w:rsid w:val="004F4540"/>
    <w:rsid w:val="004F73A7"/>
    <w:rsid w:val="00503171"/>
    <w:rsid w:val="00503D84"/>
    <w:rsid w:val="005048A2"/>
    <w:rsid w:val="00505DC8"/>
    <w:rsid w:val="00506C28"/>
    <w:rsid w:val="005113A0"/>
    <w:rsid w:val="005163CB"/>
    <w:rsid w:val="00522881"/>
    <w:rsid w:val="00531C4C"/>
    <w:rsid w:val="005345C0"/>
    <w:rsid w:val="00534DA0"/>
    <w:rsid w:val="00535620"/>
    <w:rsid w:val="005410D8"/>
    <w:rsid w:val="005421D7"/>
    <w:rsid w:val="005438A1"/>
    <w:rsid w:val="00543E6C"/>
    <w:rsid w:val="00544092"/>
    <w:rsid w:val="00547584"/>
    <w:rsid w:val="0055144E"/>
    <w:rsid w:val="005524DA"/>
    <w:rsid w:val="005533EA"/>
    <w:rsid w:val="00561CE7"/>
    <w:rsid w:val="00565087"/>
    <w:rsid w:val="00565371"/>
    <w:rsid w:val="00565499"/>
    <w:rsid w:val="0056573F"/>
    <w:rsid w:val="00567E2E"/>
    <w:rsid w:val="005710FD"/>
    <w:rsid w:val="00571279"/>
    <w:rsid w:val="00572D3D"/>
    <w:rsid w:val="0057385F"/>
    <w:rsid w:val="00574D2B"/>
    <w:rsid w:val="0057728A"/>
    <w:rsid w:val="00577B57"/>
    <w:rsid w:val="00582FE5"/>
    <w:rsid w:val="00585580"/>
    <w:rsid w:val="00585830"/>
    <w:rsid w:val="005911EB"/>
    <w:rsid w:val="0059443D"/>
    <w:rsid w:val="00595016"/>
    <w:rsid w:val="005979DF"/>
    <w:rsid w:val="005A05E3"/>
    <w:rsid w:val="005A1059"/>
    <w:rsid w:val="005A2690"/>
    <w:rsid w:val="005A49C6"/>
    <w:rsid w:val="005A6D90"/>
    <w:rsid w:val="005B23F2"/>
    <w:rsid w:val="005B3AA1"/>
    <w:rsid w:val="005B698E"/>
    <w:rsid w:val="005B74F5"/>
    <w:rsid w:val="005C60B0"/>
    <w:rsid w:val="005C744C"/>
    <w:rsid w:val="005C76DC"/>
    <w:rsid w:val="005D0126"/>
    <w:rsid w:val="005D015A"/>
    <w:rsid w:val="005D1D30"/>
    <w:rsid w:val="005D2318"/>
    <w:rsid w:val="005D2644"/>
    <w:rsid w:val="005D550A"/>
    <w:rsid w:val="005D714A"/>
    <w:rsid w:val="005E1909"/>
    <w:rsid w:val="005E4C6D"/>
    <w:rsid w:val="005E6E31"/>
    <w:rsid w:val="005F2FDD"/>
    <w:rsid w:val="005F3B64"/>
    <w:rsid w:val="005F6D98"/>
    <w:rsid w:val="00603D49"/>
    <w:rsid w:val="00604A58"/>
    <w:rsid w:val="00605699"/>
    <w:rsid w:val="00606612"/>
    <w:rsid w:val="006101AF"/>
    <w:rsid w:val="00611566"/>
    <w:rsid w:val="00615441"/>
    <w:rsid w:val="00615523"/>
    <w:rsid w:val="00623740"/>
    <w:rsid w:val="00625E32"/>
    <w:rsid w:val="00627FEA"/>
    <w:rsid w:val="00630D03"/>
    <w:rsid w:val="00631939"/>
    <w:rsid w:val="006359EE"/>
    <w:rsid w:val="00637A72"/>
    <w:rsid w:val="00642586"/>
    <w:rsid w:val="00644A48"/>
    <w:rsid w:val="00646D99"/>
    <w:rsid w:val="006540DD"/>
    <w:rsid w:val="00655863"/>
    <w:rsid w:val="00655EA7"/>
    <w:rsid w:val="00656910"/>
    <w:rsid w:val="006574C0"/>
    <w:rsid w:val="00661A04"/>
    <w:rsid w:val="00661FD2"/>
    <w:rsid w:val="0066407B"/>
    <w:rsid w:val="006654D2"/>
    <w:rsid w:val="006666A4"/>
    <w:rsid w:val="00666705"/>
    <w:rsid w:val="00666A5F"/>
    <w:rsid w:val="00672809"/>
    <w:rsid w:val="00686762"/>
    <w:rsid w:val="00687083"/>
    <w:rsid w:val="00690D67"/>
    <w:rsid w:val="00696821"/>
    <w:rsid w:val="0069695D"/>
    <w:rsid w:val="00696F37"/>
    <w:rsid w:val="006B117C"/>
    <w:rsid w:val="006B6DAA"/>
    <w:rsid w:val="006B7922"/>
    <w:rsid w:val="006C170C"/>
    <w:rsid w:val="006C24BE"/>
    <w:rsid w:val="006C2B5D"/>
    <w:rsid w:val="006C38F2"/>
    <w:rsid w:val="006C64E9"/>
    <w:rsid w:val="006C66D8"/>
    <w:rsid w:val="006D1E24"/>
    <w:rsid w:val="006D35DE"/>
    <w:rsid w:val="006E1417"/>
    <w:rsid w:val="006E4D0C"/>
    <w:rsid w:val="006E70EC"/>
    <w:rsid w:val="006E798D"/>
    <w:rsid w:val="006F159C"/>
    <w:rsid w:val="006F1869"/>
    <w:rsid w:val="006F25DB"/>
    <w:rsid w:val="006F3CB2"/>
    <w:rsid w:val="006F5D56"/>
    <w:rsid w:val="006F6A2C"/>
    <w:rsid w:val="006F756E"/>
    <w:rsid w:val="00700EB8"/>
    <w:rsid w:val="007024F6"/>
    <w:rsid w:val="007032DE"/>
    <w:rsid w:val="00705C59"/>
    <w:rsid w:val="007069DC"/>
    <w:rsid w:val="0070763F"/>
    <w:rsid w:val="00710201"/>
    <w:rsid w:val="007113CC"/>
    <w:rsid w:val="00712655"/>
    <w:rsid w:val="0071337B"/>
    <w:rsid w:val="00715A63"/>
    <w:rsid w:val="0072073A"/>
    <w:rsid w:val="007320CE"/>
    <w:rsid w:val="007342B5"/>
    <w:rsid w:val="00734A5B"/>
    <w:rsid w:val="00735D0A"/>
    <w:rsid w:val="0074318A"/>
    <w:rsid w:val="00744E76"/>
    <w:rsid w:val="007455B4"/>
    <w:rsid w:val="007456AE"/>
    <w:rsid w:val="00746830"/>
    <w:rsid w:val="00747E75"/>
    <w:rsid w:val="00750C83"/>
    <w:rsid w:val="00754721"/>
    <w:rsid w:val="00754FB0"/>
    <w:rsid w:val="00757D40"/>
    <w:rsid w:val="00763F46"/>
    <w:rsid w:val="007662B5"/>
    <w:rsid w:val="007715B0"/>
    <w:rsid w:val="00775DE5"/>
    <w:rsid w:val="0077682B"/>
    <w:rsid w:val="007806CA"/>
    <w:rsid w:val="00781F0F"/>
    <w:rsid w:val="00783939"/>
    <w:rsid w:val="0078727C"/>
    <w:rsid w:val="007903C7"/>
    <w:rsid w:val="0079049D"/>
    <w:rsid w:val="0079194E"/>
    <w:rsid w:val="00792418"/>
    <w:rsid w:val="00793DC5"/>
    <w:rsid w:val="00796823"/>
    <w:rsid w:val="00796DCD"/>
    <w:rsid w:val="007A2E55"/>
    <w:rsid w:val="007A40D3"/>
    <w:rsid w:val="007A4C9A"/>
    <w:rsid w:val="007B01AA"/>
    <w:rsid w:val="007B18D8"/>
    <w:rsid w:val="007B550C"/>
    <w:rsid w:val="007C095F"/>
    <w:rsid w:val="007C0A68"/>
    <w:rsid w:val="007C243C"/>
    <w:rsid w:val="007C2DD0"/>
    <w:rsid w:val="007C2FD7"/>
    <w:rsid w:val="007C337E"/>
    <w:rsid w:val="007C6E0A"/>
    <w:rsid w:val="007C7A81"/>
    <w:rsid w:val="007D0C42"/>
    <w:rsid w:val="007D4804"/>
    <w:rsid w:val="007D661A"/>
    <w:rsid w:val="007D67DE"/>
    <w:rsid w:val="007E0564"/>
    <w:rsid w:val="007F00E3"/>
    <w:rsid w:val="007F1324"/>
    <w:rsid w:val="007F166F"/>
    <w:rsid w:val="007F2E08"/>
    <w:rsid w:val="007F4131"/>
    <w:rsid w:val="007F52AA"/>
    <w:rsid w:val="007F6718"/>
    <w:rsid w:val="007F76B2"/>
    <w:rsid w:val="00801B52"/>
    <w:rsid w:val="008028A4"/>
    <w:rsid w:val="00813245"/>
    <w:rsid w:val="00813D14"/>
    <w:rsid w:val="00814F50"/>
    <w:rsid w:val="00815423"/>
    <w:rsid w:val="008164F4"/>
    <w:rsid w:val="0082175E"/>
    <w:rsid w:val="00822D62"/>
    <w:rsid w:val="008265AA"/>
    <w:rsid w:val="00826CC8"/>
    <w:rsid w:val="00833782"/>
    <w:rsid w:val="00834A65"/>
    <w:rsid w:val="00834CE8"/>
    <w:rsid w:val="00840CE3"/>
    <w:rsid w:val="00840DE0"/>
    <w:rsid w:val="008418BE"/>
    <w:rsid w:val="00844F2F"/>
    <w:rsid w:val="00846FA3"/>
    <w:rsid w:val="00847044"/>
    <w:rsid w:val="008557D7"/>
    <w:rsid w:val="00856BD9"/>
    <w:rsid w:val="008607A8"/>
    <w:rsid w:val="00861A3D"/>
    <w:rsid w:val="0086354A"/>
    <w:rsid w:val="008654FD"/>
    <w:rsid w:val="0087147C"/>
    <w:rsid w:val="00872DB1"/>
    <w:rsid w:val="00873554"/>
    <w:rsid w:val="00873D60"/>
    <w:rsid w:val="00874207"/>
    <w:rsid w:val="008768CA"/>
    <w:rsid w:val="0087760D"/>
    <w:rsid w:val="00877EF9"/>
    <w:rsid w:val="00880559"/>
    <w:rsid w:val="00880AB5"/>
    <w:rsid w:val="00882079"/>
    <w:rsid w:val="0088637C"/>
    <w:rsid w:val="008870C4"/>
    <w:rsid w:val="008873C4"/>
    <w:rsid w:val="00887DD0"/>
    <w:rsid w:val="008952DA"/>
    <w:rsid w:val="008A1661"/>
    <w:rsid w:val="008A6AFE"/>
    <w:rsid w:val="008B191D"/>
    <w:rsid w:val="008B5306"/>
    <w:rsid w:val="008B58EF"/>
    <w:rsid w:val="008B6788"/>
    <w:rsid w:val="008B6CBB"/>
    <w:rsid w:val="008C11AB"/>
    <w:rsid w:val="008C1F2A"/>
    <w:rsid w:val="008C2E2A"/>
    <w:rsid w:val="008C3057"/>
    <w:rsid w:val="008C321D"/>
    <w:rsid w:val="008C5EDC"/>
    <w:rsid w:val="008C64FE"/>
    <w:rsid w:val="008C7EA9"/>
    <w:rsid w:val="008D1A7E"/>
    <w:rsid w:val="008D2E4D"/>
    <w:rsid w:val="008E41E1"/>
    <w:rsid w:val="008E5E95"/>
    <w:rsid w:val="008E6AFA"/>
    <w:rsid w:val="008F2ECB"/>
    <w:rsid w:val="008F396F"/>
    <w:rsid w:val="008F3DCD"/>
    <w:rsid w:val="008F454D"/>
    <w:rsid w:val="008F5BA6"/>
    <w:rsid w:val="008F64F2"/>
    <w:rsid w:val="0090011B"/>
    <w:rsid w:val="0090034D"/>
    <w:rsid w:val="00900F58"/>
    <w:rsid w:val="009018E3"/>
    <w:rsid w:val="0090271F"/>
    <w:rsid w:val="00902DB9"/>
    <w:rsid w:val="00902E38"/>
    <w:rsid w:val="009045A4"/>
    <w:rsid w:val="0090466A"/>
    <w:rsid w:val="00904D57"/>
    <w:rsid w:val="009056E5"/>
    <w:rsid w:val="00912771"/>
    <w:rsid w:val="009131E0"/>
    <w:rsid w:val="00916450"/>
    <w:rsid w:val="009173FB"/>
    <w:rsid w:val="009176AC"/>
    <w:rsid w:val="009177F4"/>
    <w:rsid w:val="00921415"/>
    <w:rsid w:val="00921EF1"/>
    <w:rsid w:val="00923655"/>
    <w:rsid w:val="00923740"/>
    <w:rsid w:val="00932E9D"/>
    <w:rsid w:val="0093491E"/>
    <w:rsid w:val="0093524D"/>
    <w:rsid w:val="00936071"/>
    <w:rsid w:val="00936CDB"/>
    <w:rsid w:val="009376CD"/>
    <w:rsid w:val="00940212"/>
    <w:rsid w:val="00942EC2"/>
    <w:rsid w:val="009474E1"/>
    <w:rsid w:val="00947A54"/>
    <w:rsid w:val="00947FAC"/>
    <w:rsid w:val="00952A29"/>
    <w:rsid w:val="00953709"/>
    <w:rsid w:val="00957581"/>
    <w:rsid w:val="00961B32"/>
    <w:rsid w:val="00962509"/>
    <w:rsid w:val="009646B5"/>
    <w:rsid w:val="009646D7"/>
    <w:rsid w:val="00966B7E"/>
    <w:rsid w:val="00970DB3"/>
    <w:rsid w:val="00971375"/>
    <w:rsid w:val="00973626"/>
    <w:rsid w:val="00974BB0"/>
    <w:rsid w:val="00975BCD"/>
    <w:rsid w:val="00976FEB"/>
    <w:rsid w:val="009813B8"/>
    <w:rsid w:val="0098513F"/>
    <w:rsid w:val="00991055"/>
    <w:rsid w:val="00991324"/>
    <w:rsid w:val="00991C46"/>
    <w:rsid w:val="009928A9"/>
    <w:rsid w:val="009941B2"/>
    <w:rsid w:val="0099488A"/>
    <w:rsid w:val="009A05DD"/>
    <w:rsid w:val="009A066E"/>
    <w:rsid w:val="009A0AF3"/>
    <w:rsid w:val="009B0591"/>
    <w:rsid w:val="009B07CD"/>
    <w:rsid w:val="009B1ADF"/>
    <w:rsid w:val="009B26F3"/>
    <w:rsid w:val="009B4C69"/>
    <w:rsid w:val="009B5E29"/>
    <w:rsid w:val="009C0260"/>
    <w:rsid w:val="009C19E9"/>
    <w:rsid w:val="009C63F5"/>
    <w:rsid w:val="009D02DC"/>
    <w:rsid w:val="009D234A"/>
    <w:rsid w:val="009D479B"/>
    <w:rsid w:val="009D74A6"/>
    <w:rsid w:val="009E0BBC"/>
    <w:rsid w:val="009E0E87"/>
    <w:rsid w:val="009E18B7"/>
    <w:rsid w:val="009F0E35"/>
    <w:rsid w:val="009F3253"/>
    <w:rsid w:val="009F5D7E"/>
    <w:rsid w:val="009F618A"/>
    <w:rsid w:val="00A00161"/>
    <w:rsid w:val="00A023B8"/>
    <w:rsid w:val="00A10F02"/>
    <w:rsid w:val="00A15270"/>
    <w:rsid w:val="00A15510"/>
    <w:rsid w:val="00A16D23"/>
    <w:rsid w:val="00A204CA"/>
    <w:rsid w:val="00A209D6"/>
    <w:rsid w:val="00A22498"/>
    <w:rsid w:val="00A22738"/>
    <w:rsid w:val="00A3167F"/>
    <w:rsid w:val="00A32AF0"/>
    <w:rsid w:val="00A32C92"/>
    <w:rsid w:val="00A353BA"/>
    <w:rsid w:val="00A358EE"/>
    <w:rsid w:val="00A35ED6"/>
    <w:rsid w:val="00A3679C"/>
    <w:rsid w:val="00A4131C"/>
    <w:rsid w:val="00A430EC"/>
    <w:rsid w:val="00A44391"/>
    <w:rsid w:val="00A46FC1"/>
    <w:rsid w:val="00A526F0"/>
    <w:rsid w:val="00A53724"/>
    <w:rsid w:val="00A54827"/>
    <w:rsid w:val="00A54B2B"/>
    <w:rsid w:val="00A55750"/>
    <w:rsid w:val="00A567A0"/>
    <w:rsid w:val="00A56E2A"/>
    <w:rsid w:val="00A60B01"/>
    <w:rsid w:val="00A64233"/>
    <w:rsid w:val="00A65E36"/>
    <w:rsid w:val="00A67399"/>
    <w:rsid w:val="00A758E0"/>
    <w:rsid w:val="00A76CE6"/>
    <w:rsid w:val="00A77903"/>
    <w:rsid w:val="00A815A8"/>
    <w:rsid w:val="00A82346"/>
    <w:rsid w:val="00A84AD3"/>
    <w:rsid w:val="00A87CCA"/>
    <w:rsid w:val="00A87E12"/>
    <w:rsid w:val="00A9671C"/>
    <w:rsid w:val="00AA1553"/>
    <w:rsid w:val="00AA2672"/>
    <w:rsid w:val="00AA2744"/>
    <w:rsid w:val="00AA3CB2"/>
    <w:rsid w:val="00AA4601"/>
    <w:rsid w:val="00AA5E35"/>
    <w:rsid w:val="00AA623F"/>
    <w:rsid w:val="00AA68BF"/>
    <w:rsid w:val="00AB024B"/>
    <w:rsid w:val="00AB1C1D"/>
    <w:rsid w:val="00AB1DC1"/>
    <w:rsid w:val="00AB2DAF"/>
    <w:rsid w:val="00AB3FFE"/>
    <w:rsid w:val="00AB6A10"/>
    <w:rsid w:val="00AC0DED"/>
    <w:rsid w:val="00AC28A8"/>
    <w:rsid w:val="00AC330F"/>
    <w:rsid w:val="00AC45D6"/>
    <w:rsid w:val="00AC550C"/>
    <w:rsid w:val="00AC5E89"/>
    <w:rsid w:val="00AD3755"/>
    <w:rsid w:val="00AD3E35"/>
    <w:rsid w:val="00AD6599"/>
    <w:rsid w:val="00AE38D6"/>
    <w:rsid w:val="00AE544D"/>
    <w:rsid w:val="00AE67E6"/>
    <w:rsid w:val="00AE74CD"/>
    <w:rsid w:val="00AF2CD8"/>
    <w:rsid w:val="00AF4CD9"/>
    <w:rsid w:val="00AF5554"/>
    <w:rsid w:val="00AF7C04"/>
    <w:rsid w:val="00B0173F"/>
    <w:rsid w:val="00B0325E"/>
    <w:rsid w:val="00B05380"/>
    <w:rsid w:val="00B05962"/>
    <w:rsid w:val="00B06CB2"/>
    <w:rsid w:val="00B112BC"/>
    <w:rsid w:val="00B15449"/>
    <w:rsid w:val="00B168AE"/>
    <w:rsid w:val="00B16C2F"/>
    <w:rsid w:val="00B23557"/>
    <w:rsid w:val="00B23933"/>
    <w:rsid w:val="00B25DC3"/>
    <w:rsid w:val="00B27303"/>
    <w:rsid w:val="00B32470"/>
    <w:rsid w:val="00B35A1D"/>
    <w:rsid w:val="00B4091F"/>
    <w:rsid w:val="00B42556"/>
    <w:rsid w:val="00B4281E"/>
    <w:rsid w:val="00B46060"/>
    <w:rsid w:val="00B4635B"/>
    <w:rsid w:val="00B4681E"/>
    <w:rsid w:val="00B47FD1"/>
    <w:rsid w:val="00B50692"/>
    <w:rsid w:val="00B516BB"/>
    <w:rsid w:val="00B5205D"/>
    <w:rsid w:val="00B543C6"/>
    <w:rsid w:val="00B62F01"/>
    <w:rsid w:val="00B654BC"/>
    <w:rsid w:val="00B6611C"/>
    <w:rsid w:val="00B71370"/>
    <w:rsid w:val="00B7327C"/>
    <w:rsid w:val="00B750D3"/>
    <w:rsid w:val="00B7538C"/>
    <w:rsid w:val="00B82F79"/>
    <w:rsid w:val="00B83194"/>
    <w:rsid w:val="00B84DB2"/>
    <w:rsid w:val="00B85703"/>
    <w:rsid w:val="00B85FB8"/>
    <w:rsid w:val="00B87C1B"/>
    <w:rsid w:val="00B96230"/>
    <w:rsid w:val="00BA0B58"/>
    <w:rsid w:val="00BA1475"/>
    <w:rsid w:val="00BA3590"/>
    <w:rsid w:val="00BB020E"/>
    <w:rsid w:val="00BB0ADE"/>
    <w:rsid w:val="00BB1F60"/>
    <w:rsid w:val="00BB2DAC"/>
    <w:rsid w:val="00BB58A8"/>
    <w:rsid w:val="00BC0D1C"/>
    <w:rsid w:val="00BC2F73"/>
    <w:rsid w:val="00BC3555"/>
    <w:rsid w:val="00BC3949"/>
    <w:rsid w:val="00BC53A5"/>
    <w:rsid w:val="00BC5403"/>
    <w:rsid w:val="00BC5D47"/>
    <w:rsid w:val="00BD0F69"/>
    <w:rsid w:val="00BD1305"/>
    <w:rsid w:val="00BD2309"/>
    <w:rsid w:val="00BD5586"/>
    <w:rsid w:val="00BE22F4"/>
    <w:rsid w:val="00BE28F9"/>
    <w:rsid w:val="00BE2BF3"/>
    <w:rsid w:val="00BE325F"/>
    <w:rsid w:val="00BE4038"/>
    <w:rsid w:val="00BE650E"/>
    <w:rsid w:val="00BE7A92"/>
    <w:rsid w:val="00BF09B9"/>
    <w:rsid w:val="00BF2BB9"/>
    <w:rsid w:val="00C0053A"/>
    <w:rsid w:val="00C01D76"/>
    <w:rsid w:val="00C05FEA"/>
    <w:rsid w:val="00C12B51"/>
    <w:rsid w:val="00C219A0"/>
    <w:rsid w:val="00C24650"/>
    <w:rsid w:val="00C25465"/>
    <w:rsid w:val="00C27521"/>
    <w:rsid w:val="00C30C33"/>
    <w:rsid w:val="00C311F2"/>
    <w:rsid w:val="00C31FAE"/>
    <w:rsid w:val="00C32B44"/>
    <w:rsid w:val="00C33079"/>
    <w:rsid w:val="00C366C2"/>
    <w:rsid w:val="00C415FC"/>
    <w:rsid w:val="00C43FAF"/>
    <w:rsid w:val="00C454DF"/>
    <w:rsid w:val="00C55A12"/>
    <w:rsid w:val="00C575D5"/>
    <w:rsid w:val="00C63DF2"/>
    <w:rsid w:val="00C64D71"/>
    <w:rsid w:val="00C6553E"/>
    <w:rsid w:val="00C65BD8"/>
    <w:rsid w:val="00C71CF6"/>
    <w:rsid w:val="00C7626E"/>
    <w:rsid w:val="00C83A13"/>
    <w:rsid w:val="00C855FF"/>
    <w:rsid w:val="00C86F10"/>
    <w:rsid w:val="00C9068C"/>
    <w:rsid w:val="00C91605"/>
    <w:rsid w:val="00C922D3"/>
    <w:rsid w:val="00C92967"/>
    <w:rsid w:val="00C942E7"/>
    <w:rsid w:val="00C958C5"/>
    <w:rsid w:val="00C96DAB"/>
    <w:rsid w:val="00CA0DE9"/>
    <w:rsid w:val="00CA1758"/>
    <w:rsid w:val="00CA3D0C"/>
    <w:rsid w:val="00CA406C"/>
    <w:rsid w:val="00CA53CD"/>
    <w:rsid w:val="00CA654B"/>
    <w:rsid w:val="00CA6C2C"/>
    <w:rsid w:val="00CA7CF9"/>
    <w:rsid w:val="00CB2BDB"/>
    <w:rsid w:val="00CB5236"/>
    <w:rsid w:val="00CB53E8"/>
    <w:rsid w:val="00CB5C9D"/>
    <w:rsid w:val="00CB6F7F"/>
    <w:rsid w:val="00CB72B8"/>
    <w:rsid w:val="00CC0FFC"/>
    <w:rsid w:val="00CC6130"/>
    <w:rsid w:val="00CC6311"/>
    <w:rsid w:val="00CD0BA8"/>
    <w:rsid w:val="00CD4C7B"/>
    <w:rsid w:val="00CD58FE"/>
    <w:rsid w:val="00CD7C77"/>
    <w:rsid w:val="00CE4375"/>
    <w:rsid w:val="00CE498D"/>
    <w:rsid w:val="00CE4A2E"/>
    <w:rsid w:val="00CE5F29"/>
    <w:rsid w:val="00CE7EE3"/>
    <w:rsid w:val="00CF0EB1"/>
    <w:rsid w:val="00CF2D69"/>
    <w:rsid w:val="00CF3163"/>
    <w:rsid w:val="00CF48BF"/>
    <w:rsid w:val="00CF7291"/>
    <w:rsid w:val="00D00D6B"/>
    <w:rsid w:val="00D0242B"/>
    <w:rsid w:val="00D02BA8"/>
    <w:rsid w:val="00D03CC0"/>
    <w:rsid w:val="00D06843"/>
    <w:rsid w:val="00D1252B"/>
    <w:rsid w:val="00D16D45"/>
    <w:rsid w:val="00D17F2C"/>
    <w:rsid w:val="00D21890"/>
    <w:rsid w:val="00D227E0"/>
    <w:rsid w:val="00D24F9B"/>
    <w:rsid w:val="00D25C0B"/>
    <w:rsid w:val="00D31148"/>
    <w:rsid w:val="00D32E29"/>
    <w:rsid w:val="00D33BE3"/>
    <w:rsid w:val="00D3792D"/>
    <w:rsid w:val="00D40256"/>
    <w:rsid w:val="00D47C67"/>
    <w:rsid w:val="00D514EB"/>
    <w:rsid w:val="00D543FE"/>
    <w:rsid w:val="00D54EAF"/>
    <w:rsid w:val="00D55E47"/>
    <w:rsid w:val="00D57FB6"/>
    <w:rsid w:val="00D6175A"/>
    <w:rsid w:val="00D62E19"/>
    <w:rsid w:val="00D62FE3"/>
    <w:rsid w:val="00D641D2"/>
    <w:rsid w:val="00D6476C"/>
    <w:rsid w:val="00D67CD1"/>
    <w:rsid w:val="00D70185"/>
    <w:rsid w:val="00D738D6"/>
    <w:rsid w:val="00D80795"/>
    <w:rsid w:val="00D80F07"/>
    <w:rsid w:val="00D841E5"/>
    <w:rsid w:val="00D854BE"/>
    <w:rsid w:val="00D87E00"/>
    <w:rsid w:val="00D9035C"/>
    <w:rsid w:val="00D9134D"/>
    <w:rsid w:val="00D9429F"/>
    <w:rsid w:val="00D96D11"/>
    <w:rsid w:val="00DA17A4"/>
    <w:rsid w:val="00DA35E3"/>
    <w:rsid w:val="00DA3CC3"/>
    <w:rsid w:val="00DA4A5C"/>
    <w:rsid w:val="00DA7A03"/>
    <w:rsid w:val="00DB0930"/>
    <w:rsid w:val="00DB0DB8"/>
    <w:rsid w:val="00DB1818"/>
    <w:rsid w:val="00DB2386"/>
    <w:rsid w:val="00DC309B"/>
    <w:rsid w:val="00DC3B8D"/>
    <w:rsid w:val="00DC4DA2"/>
    <w:rsid w:val="00DC5261"/>
    <w:rsid w:val="00DC6EC0"/>
    <w:rsid w:val="00DC76A7"/>
    <w:rsid w:val="00DC7B65"/>
    <w:rsid w:val="00DD39FC"/>
    <w:rsid w:val="00DD64B4"/>
    <w:rsid w:val="00DD6D2B"/>
    <w:rsid w:val="00DD6E4B"/>
    <w:rsid w:val="00DD7B01"/>
    <w:rsid w:val="00DE1B7E"/>
    <w:rsid w:val="00DE25D2"/>
    <w:rsid w:val="00DE2B59"/>
    <w:rsid w:val="00DE5869"/>
    <w:rsid w:val="00DE5E3F"/>
    <w:rsid w:val="00DE7B3F"/>
    <w:rsid w:val="00DF20AA"/>
    <w:rsid w:val="00DF2C5D"/>
    <w:rsid w:val="00DF3645"/>
    <w:rsid w:val="00DF7274"/>
    <w:rsid w:val="00DF7F63"/>
    <w:rsid w:val="00E01382"/>
    <w:rsid w:val="00E11964"/>
    <w:rsid w:val="00E13B00"/>
    <w:rsid w:val="00E15AA9"/>
    <w:rsid w:val="00E16429"/>
    <w:rsid w:val="00E1664C"/>
    <w:rsid w:val="00E16F8B"/>
    <w:rsid w:val="00E20BA5"/>
    <w:rsid w:val="00E240A9"/>
    <w:rsid w:val="00E35D0E"/>
    <w:rsid w:val="00E42B60"/>
    <w:rsid w:val="00E43727"/>
    <w:rsid w:val="00E44225"/>
    <w:rsid w:val="00E46503"/>
    <w:rsid w:val="00E46C08"/>
    <w:rsid w:val="00E471CF"/>
    <w:rsid w:val="00E52C21"/>
    <w:rsid w:val="00E6160F"/>
    <w:rsid w:val="00E62105"/>
    <w:rsid w:val="00E62835"/>
    <w:rsid w:val="00E636DA"/>
    <w:rsid w:val="00E64905"/>
    <w:rsid w:val="00E658DE"/>
    <w:rsid w:val="00E66E2F"/>
    <w:rsid w:val="00E6761F"/>
    <w:rsid w:val="00E7228D"/>
    <w:rsid w:val="00E74F44"/>
    <w:rsid w:val="00E75E22"/>
    <w:rsid w:val="00E77645"/>
    <w:rsid w:val="00E83697"/>
    <w:rsid w:val="00E859B6"/>
    <w:rsid w:val="00E85FE0"/>
    <w:rsid w:val="00E90789"/>
    <w:rsid w:val="00E94739"/>
    <w:rsid w:val="00E95954"/>
    <w:rsid w:val="00EA3DA9"/>
    <w:rsid w:val="00EA66C9"/>
    <w:rsid w:val="00EB4628"/>
    <w:rsid w:val="00EB78E2"/>
    <w:rsid w:val="00EC09A0"/>
    <w:rsid w:val="00EC0DC2"/>
    <w:rsid w:val="00EC2F1E"/>
    <w:rsid w:val="00EC4058"/>
    <w:rsid w:val="00EC4A25"/>
    <w:rsid w:val="00EC6821"/>
    <w:rsid w:val="00ED0A9F"/>
    <w:rsid w:val="00ED1627"/>
    <w:rsid w:val="00ED7179"/>
    <w:rsid w:val="00ED7E43"/>
    <w:rsid w:val="00EE1BA8"/>
    <w:rsid w:val="00EE2336"/>
    <w:rsid w:val="00EE596B"/>
    <w:rsid w:val="00EE7C96"/>
    <w:rsid w:val="00EF0E0E"/>
    <w:rsid w:val="00EF612C"/>
    <w:rsid w:val="00EF777A"/>
    <w:rsid w:val="00EF7A64"/>
    <w:rsid w:val="00F02034"/>
    <w:rsid w:val="00F025A2"/>
    <w:rsid w:val="00F036E9"/>
    <w:rsid w:val="00F03D67"/>
    <w:rsid w:val="00F06529"/>
    <w:rsid w:val="00F06FB4"/>
    <w:rsid w:val="00F07388"/>
    <w:rsid w:val="00F17BD7"/>
    <w:rsid w:val="00F2026E"/>
    <w:rsid w:val="00F2210A"/>
    <w:rsid w:val="00F22996"/>
    <w:rsid w:val="00F240FE"/>
    <w:rsid w:val="00F259C6"/>
    <w:rsid w:val="00F25B11"/>
    <w:rsid w:val="00F25E26"/>
    <w:rsid w:val="00F263B8"/>
    <w:rsid w:val="00F267E0"/>
    <w:rsid w:val="00F27163"/>
    <w:rsid w:val="00F31372"/>
    <w:rsid w:val="00F31C7B"/>
    <w:rsid w:val="00F33AC6"/>
    <w:rsid w:val="00F36A4E"/>
    <w:rsid w:val="00F37743"/>
    <w:rsid w:val="00F401A3"/>
    <w:rsid w:val="00F40344"/>
    <w:rsid w:val="00F40429"/>
    <w:rsid w:val="00F40A6D"/>
    <w:rsid w:val="00F4113D"/>
    <w:rsid w:val="00F428E7"/>
    <w:rsid w:val="00F431C3"/>
    <w:rsid w:val="00F434B9"/>
    <w:rsid w:val="00F471BD"/>
    <w:rsid w:val="00F51581"/>
    <w:rsid w:val="00F52818"/>
    <w:rsid w:val="00F54A3D"/>
    <w:rsid w:val="00F54CB0"/>
    <w:rsid w:val="00F579CD"/>
    <w:rsid w:val="00F60675"/>
    <w:rsid w:val="00F64585"/>
    <w:rsid w:val="00F653B8"/>
    <w:rsid w:val="00F659BD"/>
    <w:rsid w:val="00F70749"/>
    <w:rsid w:val="00F71B89"/>
    <w:rsid w:val="00F7353C"/>
    <w:rsid w:val="00F73CB1"/>
    <w:rsid w:val="00F757A1"/>
    <w:rsid w:val="00F762BE"/>
    <w:rsid w:val="00F76F8F"/>
    <w:rsid w:val="00F85CBF"/>
    <w:rsid w:val="00F86AB7"/>
    <w:rsid w:val="00F86B24"/>
    <w:rsid w:val="00F86B2A"/>
    <w:rsid w:val="00F9049C"/>
    <w:rsid w:val="00F9110F"/>
    <w:rsid w:val="00F941DF"/>
    <w:rsid w:val="00F941E4"/>
    <w:rsid w:val="00F94584"/>
    <w:rsid w:val="00F9505C"/>
    <w:rsid w:val="00FA0EAE"/>
    <w:rsid w:val="00FA1266"/>
    <w:rsid w:val="00FA1D7D"/>
    <w:rsid w:val="00FA1DFB"/>
    <w:rsid w:val="00FA6234"/>
    <w:rsid w:val="00FB2B15"/>
    <w:rsid w:val="00FB36FA"/>
    <w:rsid w:val="00FC0D7D"/>
    <w:rsid w:val="00FC1192"/>
    <w:rsid w:val="00FC252D"/>
    <w:rsid w:val="00FC40EF"/>
    <w:rsid w:val="00FC43F3"/>
    <w:rsid w:val="00FC4A00"/>
    <w:rsid w:val="00FD4644"/>
    <w:rsid w:val="00FD50BE"/>
    <w:rsid w:val="00FD6C73"/>
    <w:rsid w:val="00FE106D"/>
    <w:rsid w:val="00FE251B"/>
    <w:rsid w:val="00FE44FB"/>
    <w:rsid w:val="00FF140F"/>
    <w:rsid w:val="00FF1866"/>
    <w:rsid w:val="00FF715C"/>
    <w:rsid w:val="33638D92"/>
    <w:rsid w:val="3AEEFBEB"/>
    <w:rsid w:val="3F5DBAD2"/>
    <w:rsid w:val="44EB79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7B07F70B-D398-4B01-AB12-11F96C106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713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7324"/>
    <w:pPr>
      <w:ind w:left="720"/>
      <w:contextualSpacing/>
    </w:pPr>
  </w:style>
  <w:style w:type="character" w:styleId="CommentReference">
    <w:name w:val="annotation reference"/>
    <w:basedOn w:val="DefaultParagraphFont"/>
    <w:rsid w:val="006B6DAA"/>
    <w:rPr>
      <w:sz w:val="16"/>
      <w:szCs w:val="16"/>
    </w:rPr>
  </w:style>
  <w:style w:type="paragraph" w:styleId="CommentText">
    <w:name w:val="annotation text"/>
    <w:basedOn w:val="Normal"/>
    <w:link w:val="CommentTextChar"/>
    <w:rsid w:val="006B6DAA"/>
  </w:style>
  <w:style w:type="character" w:customStyle="1" w:styleId="CommentTextChar">
    <w:name w:val="Comment Text Char"/>
    <w:basedOn w:val="DefaultParagraphFont"/>
    <w:link w:val="CommentText"/>
    <w:rsid w:val="006B6DAA"/>
    <w:rPr>
      <w:lang w:eastAsia="en-US"/>
    </w:rPr>
  </w:style>
  <w:style w:type="paragraph" w:styleId="CommentSubject">
    <w:name w:val="annotation subject"/>
    <w:basedOn w:val="CommentText"/>
    <w:next w:val="CommentText"/>
    <w:link w:val="CommentSubjectChar"/>
    <w:rsid w:val="006B6DAA"/>
    <w:rPr>
      <w:b/>
      <w:bCs/>
    </w:rPr>
  </w:style>
  <w:style w:type="character" w:customStyle="1" w:styleId="CommentSubjectChar">
    <w:name w:val="Comment Subject Char"/>
    <w:basedOn w:val="CommentTextChar"/>
    <w:link w:val="CommentSubject"/>
    <w:rsid w:val="006B6DAA"/>
    <w:rPr>
      <w:b/>
      <w:bCs/>
      <w:lang w:eastAsia="en-US"/>
    </w:rPr>
  </w:style>
  <w:style w:type="paragraph" w:styleId="Caption">
    <w:name w:val="caption"/>
    <w:basedOn w:val="Normal"/>
    <w:next w:val="Normal"/>
    <w:unhideWhenUsed/>
    <w:qFormat/>
    <w:rsid w:val="00C855FF"/>
    <w:pPr>
      <w:spacing w:after="200"/>
    </w:pPr>
    <w:rPr>
      <w:i/>
      <w:iCs/>
      <w:color w:val="44546A" w:themeColor="text2"/>
      <w:sz w:val="18"/>
      <w:szCs w:val="18"/>
    </w:rPr>
  </w:style>
  <w:style w:type="character" w:styleId="Mention">
    <w:name w:val="Mention"/>
    <w:basedOn w:val="DefaultParagraphFont"/>
    <w:uiPriority w:val="99"/>
    <w:unhideWhenUsed/>
    <w:rsid w:val="00081620"/>
    <w:rPr>
      <w:color w:val="2B579A"/>
      <w:shd w:val="clear" w:color="auto" w:fill="E1DFDD"/>
    </w:rPr>
  </w:style>
  <w:style w:type="character" w:customStyle="1" w:styleId="normaltextrun">
    <w:name w:val="normaltextrun"/>
    <w:basedOn w:val="DefaultParagraphFont"/>
    <w:rsid w:val="00B4091F"/>
  </w:style>
  <w:style w:type="character" w:customStyle="1" w:styleId="ListParagraphChar">
    <w:name w:val="List Paragraph Char"/>
    <w:link w:val="ListParagraph"/>
    <w:uiPriority w:val="34"/>
    <w:locked/>
    <w:rsid w:val="00F02034"/>
    <w:rPr>
      <w:lang w:eastAsia="en-US"/>
    </w:rPr>
  </w:style>
  <w:style w:type="paragraph" w:styleId="ListBullet">
    <w:name w:val="List Bullet"/>
    <w:basedOn w:val="List"/>
    <w:unhideWhenUsed/>
    <w:rsid w:val="00D00D6B"/>
    <w:pPr>
      <w:tabs>
        <w:tab w:val="num" w:pos="360"/>
      </w:tabs>
      <w:spacing w:after="120" w:line="256" w:lineRule="auto"/>
      <w:ind w:left="360" w:hanging="360"/>
      <w:contextualSpacing w:val="0"/>
      <w:jc w:val="both"/>
    </w:pPr>
    <w:rPr>
      <w:rFonts w:ascii="Arial" w:eastAsiaTheme="minorHAnsi" w:hAnsi="Arial" w:cstheme="minorBidi"/>
      <w:sz w:val="22"/>
      <w:szCs w:val="22"/>
      <w:lang w:val="da-DK" w:eastAsia="ja-JP"/>
    </w:rPr>
  </w:style>
  <w:style w:type="paragraph" w:styleId="List">
    <w:name w:val="List"/>
    <w:basedOn w:val="Normal"/>
    <w:rsid w:val="00D00D6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252777">
      <w:bodyDiv w:val="1"/>
      <w:marLeft w:val="0"/>
      <w:marRight w:val="0"/>
      <w:marTop w:val="0"/>
      <w:marBottom w:val="0"/>
      <w:divBdr>
        <w:top w:val="none" w:sz="0" w:space="0" w:color="auto"/>
        <w:left w:val="none" w:sz="0" w:space="0" w:color="auto"/>
        <w:bottom w:val="none" w:sz="0" w:space="0" w:color="auto"/>
        <w:right w:val="none" w:sz="0" w:space="0" w:color="auto"/>
      </w:divBdr>
    </w:div>
    <w:div w:id="460733165">
      <w:bodyDiv w:val="1"/>
      <w:marLeft w:val="0"/>
      <w:marRight w:val="0"/>
      <w:marTop w:val="0"/>
      <w:marBottom w:val="0"/>
      <w:divBdr>
        <w:top w:val="none" w:sz="0" w:space="0" w:color="auto"/>
        <w:left w:val="none" w:sz="0" w:space="0" w:color="auto"/>
        <w:bottom w:val="none" w:sz="0" w:space="0" w:color="auto"/>
        <w:right w:val="none" w:sz="0" w:space="0" w:color="auto"/>
      </w:divBdr>
    </w:div>
    <w:div w:id="475804796">
      <w:bodyDiv w:val="1"/>
      <w:marLeft w:val="0"/>
      <w:marRight w:val="0"/>
      <w:marTop w:val="0"/>
      <w:marBottom w:val="0"/>
      <w:divBdr>
        <w:top w:val="none" w:sz="0" w:space="0" w:color="auto"/>
        <w:left w:val="none" w:sz="0" w:space="0" w:color="auto"/>
        <w:bottom w:val="none" w:sz="0" w:space="0" w:color="auto"/>
        <w:right w:val="none" w:sz="0" w:space="0" w:color="auto"/>
      </w:divBdr>
    </w:div>
    <w:div w:id="598761826">
      <w:bodyDiv w:val="1"/>
      <w:marLeft w:val="0"/>
      <w:marRight w:val="0"/>
      <w:marTop w:val="0"/>
      <w:marBottom w:val="0"/>
      <w:divBdr>
        <w:top w:val="none" w:sz="0" w:space="0" w:color="auto"/>
        <w:left w:val="none" w:sz="0" w:space="0" w:color="auto"/>
        <w:bottom w:val="none" w:sz="0" w:space="0" w:color="auto"/>
        <w:right w:val="none" w:sz="0" w:space="0" w:color="auto"/>
      </w:divBdr>
    </w:div>
    <w:div w:id="641232632">
      <w:bodyDiv w:val="1"/>
      <w:marLeft w:val="0"/>
      <w:marRight w:val="0"/>
      <w:marTop w:val="0"/>
      <w:marBottom w:val="0"/>
      <w:divBdr>
        <w:top w:val="none" w:sz="0" w:space="0" w:color="auto"/>
        <w:left w:val="none" w:sz="0" w:space="0" w:color="auto"/>
        <w:bottom w:val="none" w:sz="0" w:space="0" w:color="auto"/>
        <w:right w:val="none" w:sz="0" w:space="0" w:color="auto"/>
      </w:divBdr>
      <w:divsChild>
        <w:div w:id="623391555">
          <w:marLeft w:val="994"/>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1592349">
      <w:bodyDiv w:val="1"/>
      <w:marLeft w:val="0"/>
      <w:marRight w:val="0"/>
      <w:marTop w:val="0"/>
      <w:marBottom w:val="0"/>
      <w:divBdr>
        <w:top w:val="none" w:sz="0" w:space="0" w:color="auto"/>
        <w:left w:val="none" w:sz="0" w:space="0" w:color="auto"/>
        <w:bottom w:val="none" w:sz="0" w:space="0" w:color="auto"/>
        <w:right w:val="none" w:sz="0" w:space="0" w:color="auto"/>
      </w:divBdr>
      <w:divsChild>
        <w:div w:id="524446260">
          <w:marLeft w:val="300"/>
          <w:marRight w:val="0"/>
          <w:marTop w:val="210"/>
          <w:marBottom w:val="0"/>
          <w:divBdr>
            <w:top w:val="none" w:sz="0" w:space="0" w:color="auto"/>
            <w:left w:val="none" w:sz="0" w:space="0" w:color="auto"/>
            <w:bottom w:val="none" w:sz="0" w:space="0" w:color="auto"/>
            <w:right w:val="none" w:sz="0" w:space="0" w:color="auto"/>
          </w:divBdr>
        </w:div>
        <w:div w:id="1662808821">
          <w:marLeft w:val="300"/>
          <w:marRight w:val="0"/>
          <w:marTop w:val="21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Users/stanczak/Data/3GPP/Extracts/R2-2100744.doc"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5AIRPNAIUNRU-859666464-9753</_dlc_DocId>
    <_dlc_DocIdUrl xmlns="71c5aaf6-e6ce-465b-b873-5148d2a4c105">
      <Url>https://nokia.sharepoint.com/sites/c5g/e2earch/_layouts/15/DocIdRedir.aspx?ID=5AIRPNAIUNRU-859666464-9753</Url>
      <Description>5AIRPNAIUNRU-859666464-9753</Description>
    </_dlc_DocIdUrl>
  </documentManagement>
</p:propertie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DA40FBC0-AF5B-4F70-99B3-B58B8A9F99C6}">
  <ds:schemaRefs>
    <ds:schemaRef ds:uri="http://schemas.openxmlformats.org/officeDocument/2006/bibliography"/>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1992</TotalTime>
  <Pages>8</Pages>
  <Words>3956</Words>
  <Characters>19680</Characters>
  <Application>Microsoft Office Word</Application>
  <DocSecurity>0</DocSecurity>
  <Lines>164</Lines>
  <Paragraphs>47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23589</CharactersWithSpaces>
  <SharedDoc>false</SharedDoc>
  <HyperlinkBase/>
  <HLinks>
    <vt:vector size="36" baseType="variant">
      <vt:variant>
        <vt:i4>3866685</vt:i4>
      </vt:variant>
      <vt:variant>
        <vt:i4>12</vt:i4>
      </vt:variant>
      <vt:variant>
        <vt:i4>0</vt:i4>
      </vt:variant>
      <vt:variant>
        <vt:i4>5</vt:i4>
      </vt:variant>
      <vt:variant>
        <vt:lpwstr>C:\Users\stanczak\Data\3GPP\Extracts\R2-2100744.doc</vt:lpwstr>
      </vt:variant>
      <vt:variant>
        <vt:lpwstr/>
      </vt:variant>
      <vt:variant>
        <vt:i4>6815767</vt:i4>
      </vt:variant>
      <vt:variant>
        <vt:i4>12</vt:i4>
      </vt:variant>
      <vt:variant>
        <vt:i4>0</vt:i4>
      </vt:variant>
      <vt:variant>
        <vt:i4>5</vt:i4>
      </vt:variant>
      <vt:variant>
        <vt:lpwstr>mailto:ayaz.1.ahmed@nokia.com</vt:lpwstr>
      </vt:variant>
      <vt:variant>
        <vt:lpwstr/>
      </vt:variant>
      <vt:variant>
        <vt:i4>7995395</vt:i4>
      </vt:variant>
      <vt:variant>
        <vt:i4>9</vt:i4>
      </vt:variant>
      <vt:variant>
        <vt:i4>0</vt:i4>
      </vt:variant>
      <vt:variant>
        <vt:i4>5</vt:i4>
      </vt:variant>
      <vt:variant>
        <vt:lpwstr>mailto:mads.lauridsen@nokia-bell-labs.com</vt:lpwstr>
      </vt:variant>
      <vt:variant>
        <vt:lpwstr/>
      </vt:variant>
      <vt:variant>
        <vt:i4>3539021</vt:i4>
      </vt:variant>
      <vt:variant>
        <vt:i4>6</vt:i4>
      </vt:variant>
      <vt:variant>
        <vt:i4>0</vt:i4>
      </vt:variant>
      <vt:variant>
        <vt:i4>5</vt:i4>
      </vt:variant>
      <vt:variant>
        <vt:lpwstr>https://www.3gpp.org/ftp/TSG_RAN/WG2_RL2/TSGR2_113bis-e/Docs/R2-2103335.zip</vt:lpwstr>
      </vt:variant>
      <vt:variant>
        <vt:lpwstr/>
      </vt:variant>
      <vt:variant>
        <vt:i4>8323157</vt:i4>
      </vt:variant>
      <vt:variant>
        <vt:i4>3</vt:i4>
      </vt:variant>
      <vt:variant>
        <vt:i4>0</vt:i4>
      </vt:variant>
      <vt:variant>
        <vt:i4>5</vt:i4>
      </vt:variant>
      <vt:variant>
        <vt:lpwstr>http://3gpp.org/ftp/tsg_ran/WG2_RL2/TSGR2_113bis-e/Docs/R2-2104373.zip Question 4</vt:lpwstr>
      </vt:variant>
      <vt:variant>
        <vt:lpwstr/>
      </vt:variant>
      <vt:variant>
        <vt:i4>2621489</vt:i4>
      </vt:variant>
      <vt:variant>
        <vt:i4>0</vt:i4>
      </vt:variant>
      <vt:variant>
        <vt:i4>0</vt:i4>
      </vt:variant>
      <vt:variant>
        <vt:i4>5</vt:i4>
      </vt:variant>
      <vt:variant>
        <vt:lpwstr>https://patents.google.com/patent/US11096129B2/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Stanczak, Jedrzej (Nokia - PL/Wroclaw)</cp:lastModifiedBy>
  <cp:revision>107</cp:revision>
  <dcterms:created xsi:type="dcterms:W3CDTF">2021-10-06T07:25:00Z</dcterms:created>
  <dcterms:modified xsi:type="dcterms:W3CDTF">2021-10-21T16:40:00Z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32db780d-06f0-4b4b-8b7c-3027dca0bf03</vt:lpwstr>
  </property>
</Properties>
</file>